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E1C6" w14:textId="14BCCF4D" w:rsidR="008A19D5" w:rsidRDefault="008A19D5" w:rsidP="00366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  <w:r>
        <w:rPr>
          <w:lang w:val="fr-FR"/>
        </w:rPr>
        <w:t>Clause de comparution AXA Bank Belgium SA – Apres la fusion avec SA Crelan</w:t>
      </w:r>
    </w:p>
    <w:p w14:paraId="117F8F9E" w14:textId="77777777" w:rsidR="008A19D5" w:rsidRDefault="008A19D5" w:rsidP="00231A8A">
      <w:pPr>
        <w:rPr>
          <w:lang w:val="fr-FR"/>
        </w:rPr>
      </w:pPr>
    </w:p>
    <w:p w14:paraId="540AEE5F" w14:textId="3E9DA620" w:rsidR="00231A8A" w:rsidRPr="00231A8A" w:rsidRDefault="00231A8A" w:rsidP="00231A8A">
      <w:pPr>
        <w:rPr>
          <w:lang w:val="fr-FR"/>
        </w:rPr>
      </w:pPr>
      <w:bookmarkStart w:id="0" w:name="_Hlk168323991"/>
      <w:r w:rsidRPr="00231A8A">
        <w:rPr>
          <w:lang w:val="fr-FR"/>
        </w:rPr>
        <w:t xml:space="preserve">La </w:t>
      </w:r>
      <w:r w:rsidRPr="00366A21">
        <w:rPr>
          <w:b/>
          <w:bCs/>
          <w:lang w:val="fr-FR"/>
        </w:rPr>
        <w:t>Société Anonyme “Crelan</w:t>
      </w:r>
      <w:r w:rsidRPr="00231A8A">
        <w:rPr>
          <w:lang w:val="fr-FR"/>
        </w:rPr>
        <w:t xml:space="preserve">”, </w:t>
      </w:r>
      <w:r w:rsidRPr="00231A8A">
        <w:rPr>
          <w:lang w:val="fr-BE"/>
        </w:rPr>
        <w:t>dont le siège social est établi à 1070 Bruxelles, Boulevard Sylvain Dupuis 251, RPM Bruxelles 0205.764.318,</w:t>
      </w:r>
      <w:r>
        <w:rPr>
          <w:lang w:val="fr-BE"/>
        </w:rPr>
        <w:t xml:space="preserve"> </w:t>
      </w:r>
      <w:r w:rsidRPr="00231A8A">
        <w:rPr>
          <w:lang w:val="fr-BE"/>
        </w:rPr>
        <w:t xml:space="preserve">dont les statuts ont été modifiés à plusieurs reprises, en dernier lieu par acte du 19 décembre 2023, publié aux annexes du Moniteur belge le </w:t>
      </w:r>
      <w:r w:rsidR="008F6DF5">
        <w:rPr>
          <w:lang w:val="fr-BE"/>
        </w:rPr>
        <w:t>8</w:t>
      </w:r>
      <w:r w:rsidRPr="00231A8A">
        <w:rPr>
          <w:lang w:val="fr-BE"/>
        </w:rPr>
        <w:t xml:space="preserve"> février 2024 sous le numéro 24356365.</w:t>
      </w:r>
    </w:p>
    <w:p w14:paraId="18D69200" w14:textId="0A89E52A" w:rsidR="00231A8A" w:rsidRDefault="00231A8A" w:rsidP="00231A8A">
      <w:pPr>
        <w:rPr>
          <w:color w:val="00B050"/>
          <w:lang w:val="fr-FR"/>
        </w:rPr>
      </w:pPr>
      <w:r w:rsidRPr="00F677F7">
        <w:rPr>
          <w:color w:val="00B050"/>
          <w:lang w:val="fr-FR"/>
        </w:rPr>
        <w:t xml:space="preserve">Par acte de 10 juin 2024, passé devant le notaire Peter Van </w:t>
      </w:r>
      <w:proofErr w:type="spellStart"/>
      <w:r w:rsidRPr="00F677F7">
        <w:rPr>
          <w:color w:val="00B050"/>
          <w:lang w:val="fr-FR"/>
        </w:rPr>
        <w:t>Melkebeke</w:t>
      </w:r>
      <w:proofErr w:type="spellEnd"/>
      <w:r w:rsidRPr="00F677F7">
        <w:rPr>
          <w:color w:val="00B050"/>
          <w:lang w:val="fr-FR"/>
        </w:rPr>
        <w:t xml:space="preserve"> à Bruxelles et publié aux annexes du Moniteur belge</w:t>
      </w:r>
      <w:r w:rsidR="008A19D5" w:rsidRPr="00F677F7">
        <w:rPr>
          <w:color w:val="00B050"/>
          <w:lang w:val="fr-FR"/>
        </w:rPr>
        <w:t xml:space="preserve"> le </w:t>
      </w:r>
      <w:r w:rsidR="00B32EEE">
        <w:rPr>
          <w:color w:val="00B050"/>
          <w:lang w:val="fr-FR"/>
        </w:rPr>
        <w:t xml:space="preserve">27 juin </w:t>
      </w:r>
      <w:r w:rsidR="008A19D5" w:rsidRPr="00F677F7">
        <w:rPr>
          <w:color w:val="00B050"/>
          <w:lang w:val="fr-FR"/>
        </w:rPr>
        <w:t xml:space="preserve">2024 sous le numéro </w:t>
      </w:r>
      <w:r w:rsidR="00B32EEE">
        <w:rPr>
          <w:color w:val="00B050"/>
          <w:lang w:val="fr-FR"/>
        </w:rPr>
        <w:t>24096430</w:t>
      </w:r>
      <w:r w:rsidRPr="00F677F7">
        <w:rPr>
          <w:color w:val="00B050"/>
          <w:lang w:val="fr-FR"/>
        </w:rPr>
        <w:t xml:space="preserve">, la SA Crelan a acquis par voie de fusion par absorption la SA AXA Bank Belgium, dont le siège social est établi à 1070 Bruxelles, </w:t>
      </w:r>
      <w:r w:rsidRPr="00F677F7">
        <w:rPr>
          <w:color w:val="00B050"/>
          <w:lang w:val="fr-BE"/>
        </w:rPr>
        <w:t xml:space="preserve">Boulevard Sylvain Dupuis 251, RPM Bruxelles 0404.476.835. </w:t>
      </w:r>
      <w:r w:rsidRPr="00F677F7">
        <w:rPr>
          <w:color w:val="00B050"/>
          <w:lang w:val="fr-FR"/>
        </w:rPr>
        <w:t xml:space="preserve">Suite à cette </w:t>
      </w:r>
      <w:r w:rsidR="00366A21" w:rsidRPr="00F677F7">
        <w:rPr>
          <w:color w:val="00B050"/>
          <w:lang w:val="fr-FR"/>
        </w:rPr>
        <w:t>opération</w:t>
      </w:r>
      <w:r w:rsidRPr="00F677F7">
        <w:rPr>
          <w:color w:val="00B050"/>
          <w:lang w:val="fr-FR"/>
        </w:rPr>
        <w:t xml:space="preserve">, l'ensemble </w:t>
      </w:r>
      <w:r w:rsidR="00366A21" w:rsidRPr="00F677F7">
        <w:rPr>
          <w:color w:val="00B050"/>
          <w:lang w:val="fr-FR"/>
        </w:rPr>
        <w:t xml:space="preserve">des actifs </w:t>
      </w:r>
      <w:r w:rsidRPr="00F677F7">
        <w:rPr>
          <w:color w:val="00B050"/>
          <w:lang w:val="fr-FR"/>
        </w:rPr>
        <w:t xml:space="preserve">de la </w:t>
      </w:r>
      <w:r w:rsidR="00964246" w:rsidRPr="00F677F7">
        <w:rPr>
          <w:color w:val="00B050"/>
          <w:lang w:val="fr-FR"/>
        </w:rPr>
        <w:t>SA AXA Bank B</w:t>
      </w:r>
      <w:r w:rsidR="00B32EEE">
        <w:rPr>
          <w:color w:val="00B050"/>
          <w:lang w:val="fr-FR"/>
        </w:rPr>
        <w:t>e</w:t>
      </w:r>
      <w:r w:rsidR="00964246" w:rsidRPr="00F677F7">
        <w:rPr>
          <w:color w:val="00B050"/>
          <w:lang w:val="fr-FR"/>
        </w:rPr>
        <w:t xml:space="preserve">lgium, </w:t>
      </w:r>
      <w:r w:rsidR="00366A21" w:rsidRPr="00F677F7">
        <w:rPr>
          <w:color w:val="00B050"/>
          <w:lang w:val="fr-FR"/>
        </w:rPr>
        <w:t xml:space="preserve">tant </w:t>
      </w:r>
      <w:r w:rsidRPr="00F677F7">
        <w:rPr>
          <w:color w:val="00B050"/>
          <w:lang w:val="fr-FR"/>
        </w:rPr>
        <w:t xml:space="preserve">les droits </w:t>
      </w:r>
      <w:r w:rsidR="00366A21" w:rsidRPr="00F677F7">
        <w:rPr>
          <w:color w:val="00B050"/>
          <w:lang w:val="fr-FR"/>
        </w:rPr>
        <w:t>que les</w:t>
      </w:r>
      <w:r w:rsidRPr="00F677F7">
        <w:rPr>
          <w:color w:val="00B050"/>
          <w:lang w:val="fr-FR"/>
        </w:rPr>
        <w:t xml:space="preserve"> obligations, </w:t>
      </w:r>
      <w:r w:rsidR="00366A21" w:rsidRPr="00F677F7">
        <w:rPr>
          <w:color w:val="00B050"/>
          <w:lang w:val="fr-FR"/>
        </w:rPr>
        <w:t xml:space="preserve">seront </w:t>
      </w:r>
      <w:r w:rsidRPr="00F677F7">
        <w:rPr>
          <w:color w:val="00B050"/>
          <w:lang w:val="fr-FR"/>
        </w:rPr>
        <w:t>transféré</w:t>
      </w:r>
      <w:r w:rsidR="00366A21" w:rsidRPr="00F677F7">
        <w:rPr>
          <w:color w:val="00B050"/>
          <w:lang w:val="fr-FR"/>
        </w:rPr>
        <w:t>s</w:t>
      </w:r>
      <w:r w:rsidRPr="00F677F7">
        <w:rPr>
          <w:color w:val="00B050"/>
          <w:lang w:val="fr-FR"/>
        </w:rPr>
        <w:t xml:space="preserve"> à la </w:t>
      </w:r>
      <w:r w:rsidR="00964246" w:rsidRPr="00F677F7">
        <w:rPr>
          <w:color w:val="00B050"/>
          <w:lang w:val="fr-FR"/>
        </w:rPr>
        <w:t xml:space="preserve">SA Crelan. </w:t>
      </w:r>
      <w:bookmarkEnd w:id="0"/>
    </w:p>
    <w:p w14:paraId="27E2B2B2" w14:textId="202DDF53" w:rsidR="00B32EEE" w:rsidRDefault="00B32EEE" w:rsidP="00231A8A">
      <w:pPr>
        <w:rPr>
          <w:color w:val="00B050"/>
          <w:lang w:val="fr-FR"/>
        </w:rPr>
      </w:pPr>
      <w:r>
        <w:rPr>
          <w:color w:val="00B050"/>
          <w:lang w:val="fr-FR"/>
        </w:rPr>
        <w:t>En application de l’article 81undecies de la loi hypothécaire du 16 décembre 1851, la cession de l’entièreté du portefeuille de créances hypothécaires</w:t>
      </w:r>
      <w:r w:rsidR="001A10C5">
        <w:rPr>
          <w:color w:val="00B050"/>
          <w:lang w:val="fr-FR"/>
        </w:rPr>
        <w:t xml:space="preserve"> </w:t>
      </w:r>
      <w:r w:rsidR="001A10C5" w:rsidRPr="001A10C5">
        <w:rPr>
          <w:color w:val="00B050"/>
          <w:lang w:val="fr-FR"/>
        </w:rPr>
        <w:t xml:space="preserve">de la SA AXA Bank Belgium à la SA Crelan </w:t>
      </w:r>
      <w:r>
        <w:rPr>
          <w:color w:val="00B050"/>
          <w:lang w:val="fr-FR"/>
        </w:rPr>
        <w:t xml:space="preserve"> a </w:t>
      </w:r>
      <w:r w:rsidR="002214E0">
        <w:rPr>
          <w:color w:val="00B050"/>
          <w:lang w:val="fr-FR"/>
        </w:rPr>
        <w:t xml:space="preserve">également </w:t>
      </w:r>
      <w:r>
        <w:rPr>
          <w:color w:val="00B050"/>
          <w:lang w:val="fr-FR"/>
        </w:rPr>
        <w:t xml:space="preserve">été publiée au Moniteur Belge du 23 juillet 2024, page 88000, numéro 6445. </w:t>
      </w:r>
    </w:p>
    <w:p w14:paraId="559034BD" w14:textId="77777777" w:rsidR="00F677F7" w:rsidRDefault="00F677F7" w:rsidP="00231A8A">
      <w:pPr>
        <w:rPr>
          <w:color w:val="00B050"/>
          <w:lang w:val="fr-FR"/>
        </w:rPr>
      </w:pPr>
    </w:p>
    <w:p w14:paraId="22309DA0" w14:textId="77777777" w:rsidR="00F677F7" w:rsidRPr="00F677F7" w:rsidRDefault="00F677F7" w:rsidP="00F677F7">
      <w:pPr>
        <w:rPr>
          <w:b/>
          <w:bCs/>
          <w:i/>
          <w:iCs/>
          <w:color w:val="0070C0"/>
          <w:u w:val="single"/>
          <w:lang w:val="fr-FR"/>
        </w:rPr>
      </w:pPr>
      <w:r w:rsidRPr="00F677F7">
        <w:rPr>
          <w:b/>
          <w:bCs/>
          <w:i/>
          <w:iCs/>
          <w:color w:val="0070C0"/>
          <w:u w:val="single"/>
          <w:lang w:val="fr-FR"/>
        </w:rPr>
        <w:t xml:space="preserve">N'ajouter que le cas échéant : </w:t>
      </w:r>
    </w:p>
    <w:p w14:paraId="3E1BCEBA" w14:textId="5114B4B3" w:rsidR="00F677F7" w:rsidRPr="00F677F7" w:rsidRDefault="00F677F7" w:rsidP="00F677F7">
      <w:pPr>
        <w:pStyle w:val="Lijstalinea"/>
        <w:numPr>
          <w:ilvl w:val="0"/>
          <w:numId w:val="2"/>
        </w:numPr>
        <w:rPr>
          <w:b/>
          <w:bCs/>
          <w:i/>
          <w:iCs/>
          <w:color w:val="0070C0"/>
          <w:u w:val="single"/>
          <w:lang w:val="fr-FR"/>
        </w:rPr>
      </w:pPr>
      <w:r w:rsidRPr="00F677F7">
        <w:rPr>
          <w:b/>
          <w:bCs/>
          <w:i/>
          <w:iCs/>
          <w:color w:val="0070C0"/>
          <w:u w:val="single"/>
          <w:lang w:val="fr-FR"/>
        </w:rPr>
        <w:t>En cas de crédits ex-AXA Bank Europe, ex-ANHYP, ex IPPA :</w:t>
      </w:r>
    </w:p>
    <w:p w14:paraId="061471DB" w14:textId="599293A4" w:rsidR="00F677F7" w:rsidRDefault="00F677F7" w:rsidP="00F677F7">
      <w:pPr>
        <w:rPr>
          <w:color w:val="0070C0"/>
          <w:lang w:val="fr-FR"/>
        </w:rPr>
      </w:pPr>
      <w:r w:rsidRPr="00F677F7">
        <w:rPr>
          <w:color w:val="0070C0"/>
          <w:lang w:val="fr-FR"/>
        </w:rPr>
        <w:t>La société anonyme AXA Bank Belgium, anciennement dénommée « AXA Bank Europe », anciennement dénommée « ANHYP », a été constituée par acte du 27 août 1881, publié aux annexes du Moniteur belge le 16 septembre 1881, sous le numéro 1359, dont les statuts ont été modifiés à plusieurs reprises, pour la dernière fois par acte du 19 décembre 2023, publié aux annexes du Moniteur belge le 8 février 2024 sous le numéro 24355961.</w:t>
      </w:r>
    </w:p>
    <w:p w14:paraId="6164D9AC" w14:textId="77777777" w:rsidR="00F677F7" w:rsidRPr="00F677F7" w:rsidRDefault="00F677F7" w:rsidP="00F677F7">
      <w:pPr>
        <w:ind w:left="708"/>
        <w:rPr>
          <w:b/>
          <w:bCs/>
          <w:i/>
          <w:iCs/>
          <w:color w:val="0070C0"/>
          <w:u w:val="single"/>
          <w:lang w:val="fr-FR"/>
        </w:rPr>
      </w:pPr>
      <w:r w:rsidRPr="00F677F7">
        <w:rPr>
          <w:b/>
          <w:bCs/>
          <w:i/>
          <w:iCs/>
          <w:color w:val="0070C0"/>
          <w:u w:val="single"/>
          <w:lang w:val="fr-FR"/>
        </w:rPr>
        <w:t>En cas de crédits ex-IPPA :</w:t>
      </w:r>
    </w:p>
    <w:p w14:paraId="2FBD0A7E" w14:textId="612A36D9" w:rsidR="00F677F7" w:rsidRDefault="00F677F7" w:rsidP="00F677F7">
      <w:pPr>
        <w:ind w:left="708"/>
        <w:rPr>
          <w:color w:val="0070C0"/>
          <w:lang w:val="fr-FR"/>
        </w:rPr>
      </w:pPr>
      <w:r w:rsidRPr="00F677F7">
        <w:rPr>
          <w:color w:val="0070C0"/>
          <w:lang w:val="fr-FR"/>
        </w:rPr>
        <w:t xml:space="preserve">En vertu d'une convention de transfert d'actifs et de passifs datée du 30 novembre 1999, la </w:t>
      </w:r>
      <w:r>
        <w:rPr>
          <w:color w:val="0070C0"/>
          <w:lang w:val="fr-FR"/>
        </w:rPr>
        <w:t>SA</w:t>
      </w:r>
      <w:r w:rsidRPr="00F677F7">
        <w:rPr>
          <w:color w:val="0070C0"/>
          <w:lang w:val="fr-FR"/>
        </w:rPr>
        <w:t xml:space="preserve"> AXA Bank Belgium a repris les droits et obligations de la société anonyme IPPA BANK. Cette opération a été autorisée par la Commission bancaire et financière le 14 décembre 1999, publiée au Moniteur belge du 14 janvier 2000 page 1464, conformément à l'article 31 de la loi du 22 mars 1993 relative au statut et au contrôle des établissements de crédit, et également publiée au Moniteur belge du 4 février 2000 page 3579 numéro 2180, conformément à l'article 53 de la loi du 4 août 1992 relative aux crédits hypothécaires,</w:t>
      </w:r>
    </w:p>
    <w:p w14:paraId="554FE343" w14:textId="08789F65" w:rsidR="00F677F7" w:rsidRPr="00F677F7" w:rsidRDefault="00F677F7" w:rsidP="00F677F7">
      <w:pPr>
        <w:ind w:left="708"/>
        <w:rPr>
          <w:b/>
          <w:bCs/>
          <w:i/>
          <w:iCs/>
          <w:color w:val="0070C0"/>
          <w:u w:val="single"/>
          <w:lang w:val="fr-FR"/>
        </w:rPr>
      </w:pPr>
      <w:r w:rsidRPr="00F677F7">
        <w:rPr>
          <w:b/>
          <w:bCs/>
          <w:i/>
          <w:iCs/>
          <w:color w:val="0070C0"/>
          <w:u w:val="single"/>
          <w:lang w:val="fr-FR"/>
        </w:rPr>
        <w:t xml:space="preserve">facultatif, selon </w:t>
      </w:r>
      <w:r>
        <w:rPr>
          <w:b/>
          <w:bCs/>
          <w:i/>
          <w:iCs/>
          <w:color w:val="0070C0"/>
          <w:u w:val="single"/>
          <w:lang w:val="fr-FR"/>
        </w:rPr>
        <w:t>le prêteur</w:t>
      </w:r>
      <w:r w:rsidRPr="00F677F7">
        <w:rPr>
          <w:b/>
          <w:bCs/>
          <w:i/>
          <w:iCs/>
          <w:color w:val="0070C0"/>
          <w:u w:val="single"/>
          <w:lang w:val="fr-FR"/>
        </w:rPr>
        <w:t xml:space="preserve"> figurant sur le </w:t>
      </w:r>
      <w:r>
        <w:rPr>
          <w:b/>
          <w:bCs/>
          <w:i/>
          <w:iCs/>
          <w:color w:val="0070C0"/>
          <w:u w:val="single"/>
          <w:lang w:val="fr-FR"/>
        </w:rPr>
        <w:t>bordereau</w:t>
      </w:r>
      <w:r w:rsidRPr="00F677F7">
        <w:rPr>
          <w:b/>
          <w:bCs/>
          <w:i/>
          <w:iCs/>
          <w:color w:val="0070C0"/>
          <w:u w:val="single"/>
          <w:lang w:val="fr-FR"/>
        </w:rPr>
        <w:t xml:space="preserve"> d'inscription :</w:t>
      </w:r>
    </w:p>
    <w:p w14:paraId="74CE71E1" w14:textId="77777777" w:rsidR="00F677F7" w:rsidRPr="00F677F7" w:rsidRDefault="00F677F7" w:rsidP="00F677F7">
      <w:pPr>
        <w:ind w:left="708"/>
        <w:rPr>
          <w:color w:val="0070C0"/>
          <w:lang w:val="fr-FR"/>
        </w:rPr>
      </w:pPr>
      <w:r w:rsidRPr="00F677F7">
        <w:rPr>
          <w:color w:val="0070C0"/>
          <w:lang w:val="fr-FR"/>
        </w:rPr>
        <w:t>laquelle avait à son tour, dans le cadre d'une fusion par absorption, contracté l'ensemble des droits et obligations de :</w:t>
      </w:r>
    </w:p>
    <w:p w14:paraId="2EF3BE33" w14:textId="77777777" w:rsidR="00F677F7" w:rsidRPr="00F677F7" w:rsidRDefault="00F677F7" w:rsidP="00F677F7">
      <w:pPr>
        <w:ind w:left="708"/>
        <w:rPr>
          <w:color w:val="0070C0"/>
          <w:lang w:val="fr-FR"/>
        </w:rPr>
      </w:pPr>
      <w:r w:rsidRPr="00F677F7">
        <w:rPr>
          <w:color w:val="0070C0"/>
          <w:lang w:val="fr-FR"/>
        </w:rPr>
        <w:t>- la société anonyme ROYALE BELGE FINANCE, anciennement dénommée DE LUIKSE GRONDMAATSCHAPPIJ, en abrégé F.L.-SPAARBANK, dont un avis a été publié au Moniteur belge du 15 avril 1997 conformément à l'article 53 de la loi du 4 août 1992 relative au crédit hypothécaire,</w:t>
      </w:r>
    </w:p>
    <w:p w14:paraId="57D46EF0" w14:textId="77777777" w:rsidR="00F677F7" w:rsidRPr="00F677F7" w:rsidRDefault="00F677F7" w:rsidP="00F677F7">
      <w:pPr>
        <w:ind w:left="708"/>
        <w:rPr>
          <w:color w:val="0070C0"/>
          <w:lang w:val="fr-FR"/>
        </w:rPr>
      </w:pPr>
      <w:r w:rsidRPr="00F677F7">
        <w:rPr>
          <w:color w:val="0070C0"/>
          <w:lang w:val="fr-FR"/>
        </w:rPr>
        <w:t xml:space="preserve">- la société coopérative </w:t>
      </w:r>
      <w:proofErr w:type="spellStart"/>
      <w:r w:rsidRPr="00F677F7">
        <w:rPr>
          <w:color w:val="0070C0"/>
          <w:lang w:val="fr-FR"/>
        </w:rPr>
        <w:t>Spaar</w:t>
      </w:r>
      <w:proofErr w:type="spellEnd"/>
      <w:r w:rsidRPr="00F677F7">
        <w:rPr>
          <w:color w:val="0070C0"/>
          <w:lang w:val="fr-FR"/>
        </w:rPr>
        <w:t xml:space="preserve">- en </w:t>
      </w:r>
      <w:proofErr w:type="spellStart"/>
      <w:r w:rsidRPr="00F677F7">
        <w:rPr>
          <w:color w:val="0070C0"/>
          <w:lang w:val="fr-FR"/>
        </w:rPr>
        <w:t>Kredietkas</w:t>
      </w:r>
      <w:proofErr w:type="spellEnd"/>
      <w:r w:rsidRPr="00F677F7">
        <w:rPr>
          <w:color w:val="0070C0"/>
          <w:lang w:val="fr-FR"/>
        </w:rPr>
        <w:t xml:space="preserve"> DE FAMILIE, dont un avis a été publié au Moniteur belge du 16 janvier 1998 conformément à l'article 53 de la loi du 4 août 1992 relative au crédit hypothécaire,</w:t>
      </w:r>
    </w:p>
    <w:p w14:paraId="0BB0C0D0" w14:textId="77777777" w:rsidR="00F677F7" w:rsidRPr="00F677F7" w:rsidRDefault="00F677F7" w:rsidP="00F677F7">
      <w:pPr>
        <w:ind w:left="708"/>
        <w:rPr>
          <w:color w:val="0070C0"/>
          <w:lang w:val="fr-FR"/>
        </w:rPr>
      </w:pPr>
      <w:r w:rsidRPr="00F677F7">
        <w:rPr>
          <w:color w:val="0070C0"/>
          <w:lang w:val="fr-FR"/>
        </w:rPr>
        <w:lastRenderedPageBreak/>
        <w:t>- la société anonyme IPPA SPAARBANK, anciennement dénommée :</w:t>
      </w:r>
    </w:p>
    <w:p w14:paraId="16E193F4" w14:textId="76087820" w:rsidR="00F677F7" w:rsidRPr="00FF7C86" w:rsidRDefault="00F677F7" w:rsidP="00F677F7">
      <w:pPr>
        <w:ind w:left="708"/>
        <w:rPr>
          <w:color w:val="0070C0"/>
        </w:rPr>
      </w:pPr>
      <w:r w:rsidRPr="00FF7C86">
        <w:rPr>
          <w:color w:val="0070C0"/>
        </w:rPr>
        <w:t xml:space="preserve">- Belgische Hypotheekmaatschappij et </w:t>
      </w:r>
      <w:r w:rsidR="00FF7C86" w:rsidRPr="00FF7C86">
        <w:rPr>
          <w:color w:val="0070C0"/>
        </w:rPr>
        <w:t xml:space="preserve">Caisse </w:t>
      </w:r>
      <w:proofErr w:type="spellStart"/>
      <w:r w:rsidR="00FF7C86" w:rsidRPr="00FF7C86">
        <w:rPr>
          <w:color w:val="0070C0"/>
        </w:rPr>
        <w:t>d’épargne</w:t>
      </w:r>
      <w:proofErr w:type="spellEnd"/>
      <w:r w:rsidRPr="00FF7C86">
        <w:rPr>
          <w:color w:val="0070C0"/>
        </w:rPr>
        <w:t xml:space="preserve"> IPPA</w:t>
      </w:r>
    </w:p>
    <w:p w14:paraId="66F5A771" w14:textId="77777777" w:rsidR="00F677F7" w:rsidRPr="00F677F7" w:rsidRDefault="00F677F7" w:rsidP="00F677F7">
      <w:pPr>
        <w:ind w:left="708"/>
        <w:rPr>
          <w:color w:val="0070C0"/>
          <w:lang w:val="fr-FR"/>
        </w:rPr>
      </w:pPr>
      <w:r w:rsidRPr="00F677F7">
        <w:rPr>
          <w:color w:val="0070C0"/>
          <w:lang w:val="fr-FR"/>
        </w:rPr>
        <w:t>- Caisse d'épargne IPPA</w:t>
      </w:r>
    </w:p>
    <w:p w14:paraId="792595E7" w14:textId="4F0F197B" w:rsidR="00F677F7" w:rsidRPr="00F677F7" w:rsidRDefault="00F677F7" w:rsidP="00F677F7">
      <w:pPr>
        <w:ind w:left="708"/>
        <w:rPr>
          <w:color w:val="0070C0"/>
          <w:lang w:val="fr-FR"/>
        </w:rPr>
      </w:pPr>
      <w:r w:rsidRPr="00F677F7">
        <w:rPr>
          <w:color w:val="0070C0"/>
          <w:lang w:val="fr-FR"/>
        </w:rPr>
        <w:t xml:space="preserve">- </w:t>
      </w:r>
      <w:r>
        <w:rPr>
          <w:color w:val="0070C0"/>
          <w:lang w:val="fr-FR"/>
        </w:rPr>
        <w:t xml:space="preserve">Caisse d’épargne </w:t>
      </w:r>
      <w:r w:rsidRPr="00F677F7">
        <w:rPr>
          <w:color w:val="0070C0"/>
          <w:lang w:val="fr-FR"/>
        </w:rPr>
        <w:t xml:space="preserve">IPPA- </w:t>
      </w:r>
      <w:r>
        <w:rPr>
          <w:color w:val="0070C0"/>
          <w:lang w:val="fr-FR"/>
        </w:rPr>
        <w:t>Crédit foncier</w:t>
      </w:r>
      <w:r w:rsidRPr="00F677F7">
        <w:rPr>
          <w:color w:val="0070C0"/>
          <w:lang w:val="fr-FR"/>
        </w:rPr>
        <w:t xml:space="preserve"> de Belgique, qui avait à son tour repris tous les droits et obligations de la société anonyme :</w:t>
      </w:r>
    </w:p>
    <w:p w14:paraId="31F4C8CA" w14:textId="77777777" w:rsidR="00F677F7" w:rsidRPr="00F677F7" w:rsidRDefault="00F677F7" w:rsidP="00F677F7">
      <w:pPr>
        <w:ind w:left="1416"/>
        <w:rPr>
          <w:color w:val="0070C0"/>
          <w:lang w:val="fr-FR"/>
        </w:rPr>
      </w:pPr>
      <w:r w:rsidRPr="00F677F7">
        <w:rPr>
          <w:color w:val="0070C0"/>
          <w:lang w:val="fr-FR"/>
        </w:rPr>
        <w:t>- Crédit foncier de Belgique</w:t>
      </w:r>
    </w:p>
    <w:p w14:paraId="16C7A941" w14:textId="77777777" w:rsidR="00F677F7" w:rsidRPr="00F677F7" w:rsidRDefault="00F677F7" w:rsidP="00F677F7">
      <w:pPr>
        <w:ind w:left="1416"/>
        <w:rPr>
          <w:color w:val="0070C0"/>
          <w:lang w:val="fr-FR"/>
        </w:rPr>
      </w:pPr>
      <w:r w:rsidRPr="00F677F7">
        <w:rPr>
          <w:color w:val="0070C0"/>
          <w:lang w:val="fr-FR"/>
        </w:rPr>
        <w:t>- Société de crédit IPPA</w:t>
      </w:r>
    </w:p>
    <w:p w14:paraId="401D0583" w14:textId="04B4DB1D" w:rsidR="00F677F7" w:rsidRDefault="00F677F7" w:rsidP="00F677F7">
      <w:pPr>
        <w:ind w:left="1416"/>
        <w:rPr>
          <w:color w:val="0070C0"/>
          <w:lang w:val="fr-FR"/>
        </w:rPr>
      </w:pPr>
      <w:r w:rsidRPr="00F677F7">
        <w:rPr>
          <w:color w:val="0070C0"/>
          <w:lang w:val="fr-FR"/>
        </w:rPr>
        <w:t xml:space="preserve">- </w:t>
      </w:r>
      <w:proofErr w:type="spellStart"/>
      <w:r w:rsidRPr="00F677F7">
        <w:rPr>
          <w:color w:val="0070C0"/>
          <w:lang w:val="fr-FR"/>
        </w:rPr>
        <w:t>Finargos</w:t>
      </w:r>
      <w:proofErr w:type="spellEnd"/>
    </w:p>
    <w:p w14:paraId="54AB608B" w14:textId="77777777" w:rsidR="00FF7C86" w:rsidRDefault="00FF7C86" w:rsidP="00FF7C86">
      <w:pPr>
        <w:rPr>
          <w:color w:val="0070C0"/>
          <w:lang w:val="fr-FR"/>
        </w:rPr>
      </w:pPr>
    </w:p>
    <w:p w14:paraId="7A2CA416" w14:textId="528C7BFE" w:rsidR="00FF7C86" w:rsidRPr="00FF7C86" w:rsidRDefault="00FF7C86" w:rsidP="00FF7C86">
      <w:pPr>
        <w:pStyle w:val="Lijstalinea"/>
        <w:numPr>
          <w:ilvl w:val="0"/>
          <w:numId w:val="2"/>
        </w:numPr>
        <w:rPr>
          <w:b/>
          <w:bCs/>
          <w:i/>
          <w:iCs/>
          <w:color w:val="0070C0"/>
          <w:u w:val="single"/>
          <w:lang w:val="fr-FR"/>
        </w:rPr>
      </w:pPr>
      <w:r w:rsidRPr="00FF7C86">
        <w:rPr>
          <w:b/>
          <w:bCs/>
          <w:i/>
          <w:iCs/>
          <w:color w:val="0070C0"/>
          <w:u w:val="single"/>
          <w:lang w:val="fr-FR"/>
        </w:rPr>
        <w:t xml:space="preserve">En cas de crédits ex-AXA Belgium, ex-Royale Belge, ex-Urbaine UAP :  </w:t>
      </w:r>
    </w:p>
    <w:p w14:paraId="1D9FCF1D" w14:textId="693ABDAB" w:rsidR="00FF7C86" w:rsidRPr="00FF7C86" w:rsidRDefault="00FF7C86" w:rsidP="00FF7C86">
      <w:pPr>
        <w:ind w:left="360"/>
        <w:rPr>
          <w:color w:val="0070C0"/>
          <w:lang w:val="fr-FR"/>
        </w:rPr>
      </w:pPr>
      <w:r w:rsidRPr="00FF7C86">
        <w:rPr>
          <w:color w:val="0070C0"/>
          <w:lang w:val="fr-FR"/>
        </w:rPr>
        <w:t>Le 1</w:t>
      </w:r>
      <w:r w:rsidR="00A27D5D" w:rsidRPr="00A27D5D">
        <w:rPr>
          <w:color w:val="0070C0"/>
          <w:vertAlign w:val="superscript"/>
          <w:lang w:val="fr-FR"/>
        </w:rPr>
        <w:t>er</w:t>
      </w:r>
      <w:r w:rsidR="00A27D5D">
        <w:rPr>
          <w:color w:val="0070C0"/>
          <w:lang w:val="fr-FR"/>
        </w:rPr>
        <w:t xml:space="preserve"> </w:t>
      </w:r>
      <w:r w:rsidRPr="00FF7C86">
        <w:rPr>
          <w:color w:val="0070C0"/>
          <w:lang w:val="fr-FR"/>
        </w:rPr>
        <w:t xml:space="preserve">novembre 2023, conformément à l'article 77 de la loi du 25 avril 2014 relative au statut et au contrôle des établissements de crédit, la </w:t>
      </w:r>
      <w:r>
        <w:rPr>
          <w:color w:val="0070C0"/>
          <w:lang w:val="fr-FR"/>
        </w:rPr>
        <w:t xml:space="preserve">SA </w:t>
      </w:r>
      <w:r w:rsidRPr="00FF7C86">
        <w:rPr>
          <w:color w:val="0070C0"/>
          <w:lang w:val="fr-FR"/>
        </w:rPr>
        <w:t xml:space="preserve">AXA Bank Belgium avait repris une partie du portefeuille de crédits hypothécaires d'AXA Belgium </w:t>
      </w:r>
      <w:r>
        <w:rPr>
          <w:color w:val="0070C0"/>
          <w:lang w:val="fr-FR"/>
        </w:rPr>
        <w:t>SA</w:t>
      </w:r>
      <w:r w:rsidRPr="00FF7C86">
        <w:rPr>
          <w:color w:val="0070C0"/>
          <w:lang w:val="fr-FR"/>
        </w:rPr>
        <w:t xml:space="preserve">, anciennement AXA Royale Belge </w:t>
      </w:r>
      <w:r>
        <w:rPr>
          <w:color w:val="0070C0"/>
          <w:lang w:val="fr-FR"/>
        </w:rPr>
        <w:t>SA</w:t>
      </w:r>
      <w:r w:rsidRPr="00FF7C86">
        <w:rPr>
          <w:color w:val="0070C0"/>
          <w:lang w:val="fr-FR"/>
        </w:rPr>
        <w:t xml:space="preserve">, avec l'autorisation de la Banque centrale européenne. L'autorisation relative à ce transfert a été publiée par la Banque nationale de Belgique au Moniteur belge le 10 novembre 2023. Le transfert a également été publié au Moniteur belge du </w:t>
      </w:r>
      <w:r w:rsidR="002214E0">
        <w:rPr>
          <w:color w:val="0070C0"/>
          <w:lang w:val="fr-FR"/>
        </w:rPr>
        <w:t xml:space="preserve">29 mai </w:t>
      </w:r>
      <w:r w:rsidRPr="00FF7C86">
        <w:rPr>
          <w:color w:val="0070C0"/>
          <w:lang w:val="fr-FR"/>
        </w:rPr>
        <w:t>2024</w:t>
      </w:r>
      <w:r w:rsidR="002214E0">
        <w:rPr>
          <w:color w:val="0070C0"/>
          <w:lang w:val="fr-FR"/>
        </w:rPr>
        <w:t xml:space="preserve">, page 65791, numéro 4989, </w:t>
      </w:r>
      <w:r w:rsidRPr="00FF7C86">
        <w:rPr>
          <w:color w:val="0070C0"/>
          <w:lang w:val="fr-FR"/>
        </w:rPr>
        <w:t xml:space="preserve"> conformément à l'article 81undecies de la loi hypothécaire du 16 décembre 1851. </w:t>
      </w:r>
    </w:p>
    <w:p w14:paraId="16D94D66" w14:textId="77777777" w:rsidR="00FF7C86" w:rsidRPr="00FF7C86" w:rsidRDefault="00FF7C86" w:rsidP="00FF7C86">
      <w:pPr>
        <w:ind w:left="708"/>
        <w:rPr>
          <w:b/>
          <w:bCs/>
          <w:i/>
          <w:iCs/>
          <w:color w:val="0070C0"/>
          <w:u w:val="single"/>
          <w:lang w:val="fr-FR"/>
        </w:rPr>
      </w:pPr>
      <w:r w:rsidRPr="00FF7C86">
        <w:rPr>
          <w:b/>
          <w:bCs/>
          <w:i/>
          <w:iCs/>
          <w:color w:val="0070C0"/>
          <w:u w:val="single"/>
          <w:lang w:val="fr-FR"/>
        </w:rPr>
        <w:t>En cas de crédits ex-Urbaine UAP :</w:t>
      </w:r>
    </w:p>
    <w:p w14:paraId="297B0EEF" w14:textId="1707B10E" w:rsidR="00FF7C86" w:rsidRPr="00FF7C86" w:rsidRDefault="00FF7C86" w:rsidP="00FF7C86">
      <w:pPr>
        <w:ind w:left="708"/>
        <w:rPr>
          <w:color w:val="0070C0"/>
          <w:lang w:val="fr-FR"/>
        </w:rPr>
      </w:pPr>
      <w:r w:rsidRPr="00FF7C86">
        <w:rPr>
          <w:color w:val="0070C0"/>
          <w:lang w:val="fr-FR"/>
        </w:rPr>
        <w:t xml:space="preserve">A son tour, la </w:t>
      </w:r>
      <w:r>
        <w:rPr>
          <w:color w:val="0070C0"/>
          <w:lang w:val="fr-FR"/>
        </w:rPr>
        <w:t>SA</w:t>
      </w:r>
      <w:r w:rsidRPr="00FF7C86">
        <w:rPr>
          <w:color w:val="0070C0"/>
          <w:lang w:val="fr-FR"/>
        </w:rPr>
        <w:t xml:space="preserve"> AXA Belgium, anciennement </w:t>
      </w:r>
      <w:r>
        <w:rPr>
          <w:color w:val="0070C0"/>
          <w:lang w:val="fr-FR"/>
        </w:rPr>
        <w:t>SA</w:t>
      </w:r>
      <w:r w:rsidRPr="00FF7C86">
        <w:rPr>
          <w:color w:val="0070C0"/>
          <w:lang w:val="fr-FR"/>
        </w:rPr>
        <w:t xml:space="preserve"> AXA Royale Belge, a été subrogée dans les droits de la </w:t>
      </w:r>
      <w:r>
        <w:rPr>
          <w:color w:val="0070C0"/>
          <w:lang w:val="fr-FR"/>
        </w:rPr>
        <w:t>SA</w:t>
      </w:r>
      <w:r w:rsidRPr="00FF7C86">
        <w:rPr>
          <w:color w:val="0070C0"/>
          <w:lang w:val="fr-FR"/>
        </w:rPr>
        <w:t xml:space="preserve"> Urbaine UAP. </w:t>
      </w:r>
    </w:p>
    <w:p w14:paraId="156798A0" w14:textId="7E84B143" w:rsidR="00FF7C86" w:rsidRPr="00FF7C86" w:rsidRDefault="00FF7C86" w:rsidP="00FF7C86">
      <w:pPr>
        <w:ind w:left="360"/>
        <w:rPr>
          <w:color w:val="0070C0"/>
          <w:lang w:val="fr-FR"/>
        </w:rPr>
      </w:pPr>
      <w:r w:rsidRPr="00FF7C86">
        <w:rPr>
          <w:color w:val="0070C0"/>
          <w:lang w:val="fr-FR"/>
        </w:rPr>
        <w:t xml:space="preserve">La fusion par absorption a ensuite transféré les droits et obligations à la </w:t>
      </w:r>
      <w:r>
        <w:rPr>
          <w:color w:val="0070C0"/>
          <w:lang w:val="fr-FR"/>
        </w:rPr>
        <w:t>SA</w:t>
      </w:r>
      <w:r w:rsidRPr="00FF7C86">
        <w:rPr>
          <w:color w:val="0070C0"/>
          <w:lang w:val="fr-FR"/>
        </w:rPr>
        <w:t xml:space="preserve"> Crelan.</w:t>
      </w:r>
    </w:p>
    <w:p w14:paraId="440DE782" w14:textId="77777777" w:rsidR="00F677F7" w:rsidRPr="00F677F7" w:rsidRDefault="00F677F7" w:rsidP="00F677F7">
      <w:pPr>
        <w:ind w:left="708"/>
        <w:rPr>
          <w:color w:val="0070C0"/>
          <w:lang w:val="fr-FR"/>
        </w:rPr>
      </w:pPr>
    </w:p>
    <w:sectPr w:rsidR="00F677F7" w:rsidRPr="00F677F7" w:rsidSect="006F0A6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1D96" w14:textId="77777777" w:rsidR="00366A21" w:rsidRDefault="00366A21" w:rsidP="00366A21">
      <w:pPr>
        <w:spacing w:after="0" w:line="240" w:lineRule="auto"/>
      </w:pPr>
      <w:r>
        <w:separator/>
      </w:r>
    </w:p>
  </w:endnote>
  <w:endnote w:type="continuationSeparator" w:id="0">
    <w:p w14:paraId="1D0E52B0" w14:textId="77777777" w:rsidR="00366A21" w:rsidRDefault="00366A21" w:rsidP="0036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DB76" w14:textId="32026FC2" w:rsidR="00366A21" w:rsidRDefault="00B32EE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86320E" wp14:editId="3288D6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kstvak 5" descr="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AD9D4" w14:textId="18434C4C" w:rsidR="00B32EEE" w:rsidRPr="00B32EEE" w:rsidRDefault="00B32EEE" w:rsidP="00B32E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2E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6320E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alt="Internal Information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1BAD9D4" w14:textId="18434C4C" w:rsidR="00B32EEE" w:rsidRPr="00B32EEE" w:rsidRDefault="00B32EEE" w:rsidP="00B32E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2E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E4EE" w14:textId="2A0CC41B" w:rsidR="00366A21" w:rsidRDefault="00B32EE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CC0AF6" wp14:editId="35A14771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kstvak 6" descr="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52BA5" w14:textId="1198041A" w:rsidR="00B32EEE" w:rsidRPr="00B32EEE" w:rsidRDefault="00B32EEE" w:rsidP="00B32E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2E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C0AF6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7" type="#_x0000_t202" alt="Internal Information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DF52BA5" w14:textId="1198041A" w:rsidR="00B32EEE" w:rsidRPr="00B32EEE" w:rsidRDefault="00B32EEE" w:rsidP="00B32E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2E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2AD0" w14:textId="7C414364" w:rsidR="00366A21" w:rsidRDefault="00B32EE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C36044" wp14:editId="7F3E6C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kstvak 4" descr="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9BC04" w14:textId="714EA97C" w:rsidR="00B32EEE" w:rsidRPr="00B32EEE" w:rsidRDefault="00B32EEE" w:rsidP="00B32E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2E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36044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alt="Internal Information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719BC04" w14:textId="714EA97C" w:rsidR="00B32EEE" w:rsidRPr="00B32EEE" w:rsidRDefault="00B32EEE" w:rsidP="00B32E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2E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4EC0" w14:textId="77777777" w:rsidR="00366A21" w:rsidRDefault="00366A21" w:rsidP="00366A21">
      <w:pPr>
        <w:spacing w:after="0" w:line="240" w:lineRule="auto"/>
      </w:pPr>
      <w:r>
        <w:separator/>
      </w:r>
    </w:p>
  </w:footnote>
  <w:footnote w:type="continuationSeparator" w:id="0">
    <w:p w14:paraId="42BD0D8B" w14:textId="77777777" w:rsidR="00366A21" w:rsidRDefault="00366A21" w:rsidP="00366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4BA5"/>
    <w:multiLevelType w:val="hybridMultilevel"/>
    <w:tmpl w:val="DB62D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2190A"/>
    <w:multiLevelType w:val="hybridMultilevel"/>
    <w:tmpl w:val="699295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51588"/>
    <w:multiLevelType w:val="hybridMultilevel"/>
    <w:tmpl w:val="819EF7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6629">
    <w:abstractNumId w:val="2"/>
  </w:num>
  <w:num w:numId="2" w16cid:durableId="1183977671">
    <w:abstractNumId w:val="0"/>
  </w:num>
  <w:num w:numId="3" w16cid:durableId="98481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8A"/>
    <w:rsid w:val="00173F2B"/>
    <w:rsid w:val="001A10C5"/>
    <w:rsid w:val="002214E0"/>
    <w:rsid w:val="00231A8A"/>
    <w:rsid w:val="00231F91"/>
    <w:rsid w:val="00366A21"/>
    <w:rsid w:val="00415744"/>
    <w:rsid w:val="00676F56"/>
    <w:rsid w:val="006F0A68"/>
    <w:rsid w:val="008A19D5"/>
    <w:rsid w:val="008F6DF5"/>
    <w:rsid w:val="00964246"/>
    <w:rsid w:val="00A27D5D"/>
    <w:rsid w:val="00B32EEE"/>
    <w:rsid w:val="00C249E5"/>
    <w:rsid w:val="00F677F7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A431"/>
  <w15:chartTrackingRefBased/>
  <w15:docId w15:val="{4F6CFC0F-E473-40D4-A174-5B5230C8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231A8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31A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31A8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19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19D5"/>
    <w:rPr>
      <w:b/>
      <w:bCs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66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6A21"/>
  </w:style>
  <w:style w:type="paragraph" w:styleId="Lijstalinea">
    <w:name w:val="List Paragraph"/>
    <w:basedOn w:val="Standaard"/>
    <w:uiPriority w:val="34"/>
    <w:qFormat/>
    <w:rsid w:val="00F677F7"/>
    <w:pPr>
      <w:ind w:left="720"/>
      <w:contextualSpacing/>
    </w:pPr>
  </w:style>
  <w:style w:type="paragraph" w:styleId="Revisie">
    <w:name w:val="Revision"/>
    <w:hidden/>
    <w:uiPriority w:val="99"/>
    <w:semiHidden/>
    <w:rsid w:val="00B32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e1ffc9-3ac8-4b4d-9640-a79fae035ca4}" enabled="1" method="Privileged" siteId="{fce2dcb4-8191-4262-9152-b5ac8cfa96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LOOK Hilde</dc:creator>
  <cp:keywords/>
  <dc:description/>
  <cp:lastModifiedBy>Hilde Van Look</cp:lastModifiedBy>
  <cp:revision>3</cp:revision>
  <dcterms:created xsi:type="dcterms:W3CDTF">2024-08-14T13:26:00Z</dcterms:created>
  <dcterms:modified xsi:type="dcterms:W3CDTF">2024-08-14T14:33:00Z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Information</vt:lpwstr>
  </property>
  <property fmtid="{D5CDD505-2E9C-101B-9397-08002B2CF9AE}" pid="5" name="MSIP_Label_4ce06370-c5ca-4299-8630-fc986cd3cb5e_Enabled">
    <vt:lpwstr>true</vt:lpwstr>
  </property>
  <property fmtid="{D5CDD505-2E9C-101B-9397-08002B2CF9AE}" pid="6" name="MSIP_Label_4ce06370-c5ca-4299-8630-fc986cd3cb5e_SetDate">
    <vt:lpwstr>2024-06-03T14:11:31Z</vt:lpwstr>
  </property>
  <property fmtid="{D5CDD505-2E9C-101B-9397-08002B2CF9AE}" pid="7" name="MSIP_Label_4ce06370-c5ca-4299-8630-fc986cd3cb5e_Method">
    <vt:lpwstr>Privileged</vt:lpwstr>
  </property>
  <property fmtid="{D5CDD505-2E9C-101B-9397-08002B2CF9AE}" pid="8" name="MSIP_Label_4ce06370-c5ca-4299-8630-fc986cd3cb5e_Name">
    <vt:lpwstr>ABB_INTERNAL</vt:lpwstr>
  </property>
  <property fmtid="{D5CDD505-2E9C-101B-9397-08002B2CF9AE}" pid="9" name="MSIP_Label_4ce06370-c5ca-4299-8630-fc986cd3cb5e_SiteId">
    <vt:lpwstr>396b38cc-aa65-492b-bb0e-3d94ed25a97b</vt:lpwstr>
  </property>
  <property fmtid="{D5CDD505-2E9C-101B-9397-08002B2CF9AE}" pid="10" name="MSIP_Label_4ce06370-c5ca-4299-8630-fc986cd3cb5e_ActionId">
    <vt:lpwstr>813ce17b-3ca7-4d8e-9310-757056cab843</vt:lpwstr>
  </property>
  <property fmtid="{D5CDD505-2E9C-101B-9397-08002B2CF9AE}" pid="11" name="MSIP_Label_4ce06370-c5ca-4299-8630-fc986cd3cb5e_ContentBits">
    <vt:lpwstr>2</vt:lpwstr>
  </property>
</Properties>
</file>