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3FD98" w14:textId="77777777" w:rsidR="007141A3" w:rsidRPr="008C7B3D" w:rsidRDefault="007141A3">
      <w:pPr>
        <w:pStyle w:val="Heading9"/>
        <w:keepNext w:val="0"/>
        <w:ind w:right="-850"/>
        <w:jc w:val="left"/>
        <w:rPr>
          <w:b w:val="0"/>
          <w:sz w:val="16"/>
          <w:u w:val="none"/>
        </w:rPr>
      </w:pPr>
      <w:r w:rsidRPr="008C7B3D">
        <w:rPr>
          <w:b w:val="0"/>
          <w:sz w:val="16"/>
          <w:u w:val="none"/>
        </w:rPr>
        <w:fldChar w:fldCharType="begin">
          <w:ffData>
            <w:name w:val="Text6"/>
            <w:enabled/>
            <w:calcOnExit w:val="0"/>
            <w:textInput>
              <w:maxLength w:val="14"/>
            </w:textInput>
          </w:ffData>
        </w:fldChar>
      </w:r>
      <w:r w:rsidRPr="008C7B3D">
        <w:rPr>
          <w:b w:val="0"/>
          <w:sz w:val="16"/>
          <w:u w:val="none"/>
        </w:rPr>
        <w:instrText xml:space="preserve"> FORMTEXT </w:instrText>
      </w:r>
      <w:r w:rsidRPr="008C7B3D">
        <w:rPr>
          <w:b w:val="0"/>
          <w:sz w:val="16"/>
          <w:u w:val="none"/>
        </w:rPr>
      </w:r>
      <w:r w:rsidRPr="008C7B3D">
        <w:rPr>
          <w:b w:val="0"/>
          <w:sz w:val="16"/>
          <w:u w:val="none"/>
        </w:rPr>
        <w:fldChar w:fldCharType="separate"/>
      </w:r>
      <w:r w:rsidRPr="008C7B3D">
        <w:rPr>
          <w:b w:val="0"/>
          <w:noProof/>
          <w:sz w:val="16"/>
          <w:u w:val="none"/>
        </w:rPr>
        <w:t> </w:t>
      </w:r>
      <w:r w:rsidRPr="008C7B3D">
        <w:rPr>
          <w:b w:val="0"/>
          <w:noProof/>
          <w:sz w:val="16"/>
          <w:u w:val="none"/>
        </w:rPr>
        <w:t> </w:t>
      </w:r>
      <w:r w:rsidRPr="008C7B3D">
        <w:rPr>
          <w:b w:val="0"/>
          <w:noProof/>
          <w:sz w:val="16"/>
          <w:u w:val="none"/>
        </w:rPr>
        <w:t> </w:t>
      </w:r>
      <w:r w:rsidRPr="008C7B3D">
        <w:rPr>
          <w:b w:val="0"/>
          <w:noProof/>
          <w:sz w:val="16"/>
          <w:u w:val="none"/>
        </w:rPr>
        <w:t> </w:t>
      </w:r>
      <w:r w:rsidRPr="008C7B3D">
        <w:rPr>
          <w:b w:val="0"/>
          <w:noProof/>
          <w:sz w:val="16"/>
          <w:u w:val="none"/>
        </w:rPr>
        <w:t> </w:t>
      </w:r>
      <w:r w:rsidRPr="008C7B3D">
        <w:rPr>
          <w:b w:val="0"/>
          <w:sz w:val="16"/>
          <w:u w:val="none"/>
        </w:rPr>
        <w:fldChar w:fldCharType="end"/>
      </w:r>
    </w:p>
    <w:p w14:paraId="12E48FD5" w14:textId="77777777" w:rsidR="007141A3" w:rsidRPr="008C7B3D" w:rsidRDefault="007141A3">
      <w:pPr>
        <w:pStyle w:val="BodyText"/>
        <w:ind w:right="-851"/>
        <w:jc w:val="center"/>
        <w:rPr>
          <w:sz w:val="20"/>
          <w:u w:val="none"/>
          <w:lang w:val="nl-BE"/>
        </w:rPr>
      </w:pPr>
      <w:r w:rsidRPr="008C7B3D">
        <w:rPr>
          <w:sz w:val="20"/>
          <w:u w:val="none"/>
          <w:lang w:val="nl-BE"/>
        </w:rPr>
        <w:t>MODEL VAN AKTE VAN HYPOTHECAIRE KREDIETOPENING</w:t>
      </w:r>
    </w:p>
    <w:p w14:paraId="656E8929" w14:textId="77777777" w:rsidR="007141A3" w:rsidRPr="008C7B3D" w:rsidRDefault="007141A3">
      <w:pPr>
        <w:pBdr>
          <w:bottom w:val="single" w:sz="4" w:space="1" w:color="auto"/>
        </w:pBdr>
        <w:spacing w:before="43" w:line="182" w:lineRule="exact"/>
        <w:ind w:right="8"/>
        <w:jc w:val="both"/>
        <w:rPr>
          <w:lang w:val="nl-BE"/>
        </w:rPr>
      </w:pPr>
    </w:p>
    <w:p w14:paraId="5C90DF3B" w14:textId="77777777" w:rsidR="007141A3" w:rsidRPr="008C7B3D" w:rsidRDefault="007141A3">
      <w:pPr>
        <w:spacing w:before="43" w:line="182" w:lineRule="exact"/>
        <w:ind w:right="-851"/>
        <w:jc w:val="both"/>
        <w:rPr>
          <w:lang w:val="nl-BE"/>
        </w:rPr>
      </w:pPr>
    </w:p>
    <w:p w14:paraId="3CD0C582" w14:textId="77777777" w:rsidR="007141A3" w:rsidRPr="008C7B3D" w:rsidRDefault="007141A3">
      <w:pPr>
        <w:spacing w:before="43" w:line="182" w:lineRule="exact"/>
        <w:ind w:right="-851"/>
        <w:jc w:val="both"/>
        <w:rPr>
          <w:lang w:val="nl-BE"/>
        </w:rPr>
      </w:pPr>
      <w:r w:rsidRPr="008C7B3D">
        <w:rPr>
          <w:lang w:val="nl-BE"/>
        </w:rPr>
        <w:t xml:space="preserve">Ten </w:t>
      </w:r>
      <w:proofErr w:type="spellStart"/>
      <w:r w:rsidRPr="008C7B3D">
        <w:rPr>
          <w:lang w:val="nl-BE"/>
        </w:rPr>
        <w:t>jare</w:t>
      </w:r>
      <w:proofErr w:type="spellEnd"/>
      <w:r w:rsidRPr="008C7B3D">
        <w:rPr>
          <w:lang w:val="nl-BE"/>
        </w:rPr>
        <w:t xml:space="preserve"> twee duizend </w:t>
      </w:r>
      <w:r w:rsidR="0059067B" w:rsidRPr="00D4561D">
        <w:rPr>
          <w:lang w:val="nl-BE"/>
        </w:rPr>
        <w:t>« * »</w:t>
      </w:r>
      <w:r w:rsidRPr="008C7B3D">
        <w:rPr>
          <w:lang w:val="nl-BE"/>
        </w:rPr>
        <w:t>, de</w:t>
      </w:r>
      <w:r w:rsidR="0059067B">
        <w:rPr>
          <w:lang w:val="nl-BE"/>
        </w:rPr>
        <w:t xml:space="preserve"> </w:t>
      </w:r>
      <w:r w:rsidR="0059067B" w:rsidRPr="00D4561D">
        <w:rPr>
          <w:lang w:val="nl-BE"/>
        </w:rPr>
        <w:t>« * »</w:t>
      </w:r>
    </w:p>
    <w:p w14:paraId="3035D55C" w14:textId="77777777" w:rsidR="007141A3" w:rsidRPr="008C7B3D" w:rsidRDefault="007141A3">
      <w:pPr>
        <w:spacing w:line="182" w:lineRule="exact"/>
        <w:ind w:right="-851"/>
        <w:jc w:val="both"/>
        <w:rPr>
          <w:lang w:val="nl-BE"/>
        </w:rPr>
      </w:pPr>
      <w:r w:rsidRPr="008C7B3D">
        <w:rPr>
          <w:lang w:val="nl-BE"/>
        </w:rPr>
        <w:t>Voor ons Notaris</w:t>
      </w:r>
      <w:r w:rsidR="0059067B">
        <w:rPr>
          <w:lang w:val="nl-BE"/>
        </w:rPr>
        <w:t xml:space="preserve"> </w:t>
      </w:r>
      <w:r w:rsidR="0059067B" w:rsidRPr="00D4561D">
        <w:rPr>
          <w:lang w:val="nl-BE"/>
        </w:rPr>
        <w:t>« * »</w:t>
      </w:r>
      <w:r w:rsidRPr="008C7B3D">
        <w:rPr>
          <w:lang w:val="nl-BE"/>
        </w:rPr>
        <w:t xml:space="preserve">, met standplaats te </w:t>
      </w:r>
      <w:r w:rsidR="0059067B" w:rsidRPr="00D4561D">
        <w:rPr>
          <w:lang w:val="nl-BE"/>
        </w:rPr>
        <w:t>« * »</w:t>
      </w:r>
    </w:p>
    <w:p w14:paraId="1C46E8B1" w14:textId="77777777" w:rsidR="007141A3" w:rsidRPr="008C7B3D" w:rsidRDefault="007141A3">
      <w:pPr>
        <w:spacing w:line="182" w:lineRule="exact"/>
        <w:ind w:right="-851"/>
        <w:jc w:val="both"/>
        <w:rPr>
          <w:b/>
          <w:lang w:val="nl-BE"/>
        </w:rPr>
      </w:pPr>
      <w:r w:rsidRPr="008C7B3D">
        <w:rPr>
          <w:b/>
          <w:lang w:val="nl-BE"/>
        </w:rPr>
        <w:t xml:space="preserve">Zijn verschenen : </w:t>
      </w:r>
    </w:p>
    <w:p w14:paraId="67597F9A" w14:textId="77777777" w:rsidR="007141A3" w:rsidRPr="008C7B3D" w:rsidRDefault="007141A3">
      <w:pPr>
        <w:spacing w:line="182" w:lineRule="exact"/>
        <w:ind w:right="-851"/>
        <w:jc w:val="both"/>
        <w:rPr>
          <w:b/>
          <w:lang w:val="nl-BE"/>
        </w:rPr>
      </w:pPr>
    </w:p>
    <w:p w14:paraId="6F8124B6" w14:textId="257CF7A4" w:rsidR="00E17DBF" w:rsidRPr="008C7B3D" w:rsidRDefault="007141A3" w:rsidP="00E17DBF">
      <w:pPr>
        <w:ind w:left="142" w:hanging="142"/>
        <w:jc w:val="both"/>
        <w:rPr>
          <w:lang w:val="nl-BE"/>
        </w:rPr>
      </w:pPr>
      <w:bookmarkStart w:id="0" w:name="ca1"/>
      <w:r w:rsidRPr="008C7B3D">
        <w:rPr>
          <w:lang w:val="nl-BE"/>
        </w:rPr>
        <w:t>1)</w:t>
      </w:r>
      <w:r w:rsidR="00605A95" w:rsidRPr="008C7B3D">
        <w:rPr>
          <w:rFonts w:cs="Arial"/>
          <w:color w:val="000000"/>
          <w:szCs w:val="16"/>
          <w:lang w:val="nl-BE"/>
        </w:rPr>
        <w:t xml:space="preserve"> </w:t>
      </w:r>
      <w:r w:rsidR="002C3F93" w:rsidRPr="008C7B3D">
        <w:rPr>
          <w:rFonts w:cs="Arial"/>
          <w:color w:val="000000"/>
          <w:szCs w:val="16"/>
          <w:lang w:val="nl-BE" w:eastAsia="en-US"/>
        </w:rPr>
        <w:t xml:space="preserve">De </w:t>
      </w:r>
      <w:r w:rsidR="002C3F93" w:rsidRPr="008C7B3D">
        <w:rPr>
          <w:rFonts w:cs="Arial"/>
          <w:b/>
          <w:bCs/>
          <w:color w:val="000000"/>
          <w:szCs w:val="16"/>
          <w:lang w:val="nl-BE" w:eastAsia="en-US"/>
        </w:rPr>
        <w:t>Naamloze Vennootschap</w:t>
      </w:r>
      <w:r w:rsidR="00B47E79" w:rsidRPr="008C7B3D">
        <w:rPr>
          <w:rFonts w:cs="Arial"/>
          <w:b/>
          <w:bCs/>
          <w:color w:val="000000"/>
          <w:szCs w:val="16"/>
          <w:lang w:val="nl-BE" w:eastAsia="en-US"/>
        </w:rPr>
        <w:t xml:space="preserve"> </w:t>
      </w:r>
      <w:r w:rsidR="002C3F93" w:rsidRPr="008C7B3D">
        <w:rPr>
          <w:rFonts w:cs="Arial"/>
          <w:b/>
          <w:bCs/>
          <w:color w:val="000000"/>
          <w:szCs w:val="16"/>
          <w:lang w:val="nl-BE" w:eastAsia="en-US"/>
        </w:rPr>
        <w:t>“Crelan”</w:t>
      </w:r>
      <w:r w:rsidR="002C3F93" w:rsidRPr="008C7B3D">
        <w:rPr>
          <w:rFonts w:cs="Arial"/>
          <w:color w:val="000000"/>
          <w:szCs w:val="16"/>
          <w:lang w:val="nl-BE" w:eastAsia="en-US"/>
        </w:rPr>
        <w:t xml:space="preserve">, met maatschappelijke zetel te 1070 Brussel, Sylvain Dupuislaan 251, RPR Brussel 0205.764.318, </w:t>
      </w:r>
      <w:r w:rsidR="00D4561D" w:rsidRPr="00D4561D">
        <w:rPr>
          <w:rFonts w:cs="Arial"/>
          <w:color w:val="000000"/>
          <w:szCs w:val="16"/>
          <w:lang w:val="nl-BE" w:eastAsia="en-US"/>
        </w:rPr>
        <w:t>waarvan de statuten meerdere keren werden gewijzigd, voor het laatst bij akte van 10 juni 2024, bekend gemaakt in de bijlagen bij het Belgisch Staatsblad op 27 juni 2024 onder het nummer 24096431</w:t>
      </w:r>
      <w:r w:rsidR="00605A95" w:rsidRPr="008C7B3D">
        <w:rPr>
          <w:rFonts w:cs="Arial"/>
          <w:szCs w:val="16"/>
          <w:lang w:val="nl-BE"/>
        </w:rPr>
        <w:t xml:space="preserve">, </w:t>
      </w:r>
      <w:r w:rsidR="00605A95" w:rsidRPr="008C7B3D">
        <w:rPr>
          <w:rFonts w:cs="Arial"/>
          <w:b/>
          <w:szCs w:val="16"/>
          <w:lang w:val="nl-BE"/>
        </w:rPr>
        <w:t>in deze akte genoemd «DE BANK»</w:t>
      </w:r>
      <w:r w:rsidR="00605A95" w:rsidRPr="008C7B3D">
        <w:rPr>
          <w:rFonts w:cs="Arial"/>
          <w:szCs w:val="16"/>
          <w:lang w:val="nl-BE"/>
        </w:rPr>
        <w:t xml:space="preserve">, </w:t>
      </w:r>
      <w:r w:rsidR="008D0170" w:rsidRPr="008C7B3D">
        <w:rPr>
          <w:rFonts w:cs="Arial"/>
          <w:szCs w:val="16"/>
          <w:lang w:val="nl-BE"/>
        </w:rPr>
        <w:t>alhier vertegenwoordigd door</w:t>
      </w:r>
      <w:r w:rsidRPr="008C7B3D">
        <w:rPr>
          <w:rFonts w:cs="Arial"/>
          <w:szCs w:val="16"/>
          <w:lang w:val="nl-BE"/>
        </w:rPr>
        <w:t xml:space="preserve"> </w:t>
      </w:r>
      <w:r w:rsidR="0045139E" w:rsidRPr="00D4561D">
        <w:rPr>
          <w:lang w:val="nl-BE"/>
        </w:rPr>
        <w:t>« * »</w:t>
      </w:r>
      <w:r w:rsidR="008D0170" w:rsidRPr="008C7B3D">
        <w:rPr>
          <w:rFonts w:cs="Arial"/>
          <w:szCs w:val="16"/>
          <w:lang w:val="nl-BE"/>
        </w:rPr>
        <w:t>,</w:t>
      </w:r>
      <w:r w:rsidR="00E17DBF" w:rsidRPr="008C7B3D">
        <w:rPr>
          <w:rFonts w:cs="Arial"/>
          <w:szCs w:val="16"/>
          <w:lang w:val="nl-BE"/>
        </w:rPr>
        <w:t xml:space="preserve"> handelend </w:t>
      </w:r>
      <w:r w:rsidR="008D0170" w:rsidRPr="008C7B3D">
        <w:rPr>
          <w:rFonts w:cs="Arial"/>
          <w:szCs w:val="16"/>
          <w:lang w:val="nl-BE"/>
        </w:rPr>
        <w:t>bij sterkmaking</w:t>
      </w:r>
      <w:r w:rsidRPr="008C7B3D">
        <w:rPr>
          <w:lang w:val="nl-BE"/>
        </w:rPr>
        <w:t>,</w:t>
      </w:r>
    </w:p>
    <w:p w14:paraId="486A5E4A" w14:textId="77777777" w:rsidR="007141A3" w:rsidRPr="008C7B3D" w:rsidRDefault="007141A3" w:rsidP="00E17DBF">
      <w:pPr>
        <w:ind w:left="142" w:hanging="142"/>
        <w:jc w:val="right"/>
        <w:rPr>
          <w:rFonts w:cs="Arial"/>
          <w:b/>
          <w:szCs w:val="16"/>
          <w:lang w:val="nl-BE"/>
        </w:rPr>
      </w:pPr>
      <w:r w:rsidRPr="008C7B3D">
        <w:rPr>
          <w:lang w:val="nl-BE"/>
        </w:rPr>
        <w:tab/>
      </w:r>
      <w:r w:rsidRPr="008C7B3D">
        <w:rPr>
          <w:b/>
          <w:u w:val="single"/>
          <w:lang w:val="nl-BE"/>
        </w:rPr>
        <w:t>TEN EERSTE ZIJDE,</w:t>
      </w:r>
    </w:p>
    <w:bookmarkEnd w:id="0"/>
    <w:p w14:paraId="33B0269C" w14:textId="77777777" w:rsidR="007141A3" w:rsidRPr="008C7B3D" w:rsidRDefault="007141A3">
      <w:pPr>
        <w:jc w:val="both"/>
        <w:rPr>
          <w:lang w:val="nl-BE"/>
        </w:rPr>
      </w:pPr>
    </w:p>
    <w:p w14:paraId="07C5ED77" w14:textId="77777777" w:rsidR="007141A3" w:rsidRPr="008C7B3D" w:rsidRDefault="007141A3">
      <w:pPr>
        <w:ind w:left="284" w:hanging="284"/>
        <w:jc w:val="both"/>
        <w:rPr>
          <w:lang w:val="nl-BE"/>
        </w:rPr>
      </w:pPr>
      <w:r w:rsidRPr="008C7B3D">
        <w:rPr>
          <w:lang w:val="nl-BE"/>
        </w:rPr>
        <w:t xml:space="preserve">2) A.- </w:t>
      </w:r>
      <w:r w:rsidRPr="008C7B3D">
        <w:rPr>
          <w:b/>
          <w:u w:val="single"/>
          <w:lang w:val="nl-BE"/>
        </w:rPr>
        <w:t xml:space="preserve">Wanneer de kredietnemer(s) fysieke </w:t>
      </w:r>
      <w:proofErr w:type="spellStart"/>
      <w:r w:rsidRPr="008C7B3D">
        <w:rPr>
          <w:b/>
          <w:u w:val="single"/>
          <w:lang w:val="nl-BE"/>
        </w:rPr>
        <w:t>perso</w:t>
      </w:r>
      <w:proofErr w:type="spellEnd"/>
      <w:r w:rsidRPr="008C7B3D">
        <w:rPr>
          <w:b/>
          <w:u w:val="single"/>
          <w:lang w:val="nl-BE"/>
        </w:rPr>
        <w:t>(o)n(en) is/zijn</w:t>
      </w:r>
    </w:p>
    <w:p w14:paraId="4F33A9F3" w14:textId="77777777" w:rsidR="007141A3" w:rsidRPr="008C7B3D" w:rsidRDefault="007141A3">
      <w:pPr>
        <w:ind w:left="567"/>
        <w:jc w:val="both"/>
        <w:rPr>
          <w:lang w:val="nl-BE"/>
        </w:rPr>
      </w:pPr>
      <w:r w:rsidRPr="008C7B3D">
        <w:rPr>
          <w:lang w:val="nl-BE"/>
        </w:rPr>
        <w:t xml:space="preserve">Naam, voornamen, plaats en datum van geboorte, beroep, </w:t>
      </w:r>
      <w:r w:rsidRPr="008C7B3D">
        <w:rPr>
          <w:b/>
          <w:lang w:val="nl-BE"/>
        </w:rPr>
        <w:t>eventueel</w:t>
      </w:r>
      <w:r w:rsidRPr="008C7B3D">
        <w:rPr>
          <w:lang w:val="nl-BE"/>
        </w:rPr>
        <w:t xml:space="preserve"> inschrijvingsnummer bij het handelsregister en de BTW (en zijn echtgenote           (naam, voornamen, plaats en datum van geboorte, beroep), samen wonende te       en gehuwd onder het stelsel van         naar de tekst van hun huwelijkscontract van           verleden voor Notaris                   te                en waarvan ons een uitgifte werd voorgelegd, </w:t>
      </w:r>
    </w:p>
    <w:p w14:paraId="0C0BA034" w14:textId="77777777" w:rsidR="007141A3" w:rsidRPr="008C7B3D" w:rsidRDefault="007141A3">
      <w:pPr>
        <w:pStyle w:val="BlockText"/>
        <w:spacing w:before="0" w:line="240" w:lineRule="auto"/>
        <w:ind w:left="426" w:right="0" w:hanging="142"/>
        <w:rPr>
          <w:lang w:val="nl-BE"/>
        </w:rPr>
      </w:pPr>
      <w:r w:rsidRPr="008C7B3D">
        <w:rPr>
          <w:lang w:val="nl-BE"/>
        </w:rPr>
        <w:t xml:space="preserve"> - </w:t>
      </w:r>
      <w:r w:rsidRPr="008C7B3D">
        <w:rPr>
          <w:b/>
          <w:u w:val="single"/>
          <w:lang w:val="nl-BE"/>
        </w:rPr>
        <w:t xml:space="preserve">Wanneer de kredietnemer(s) </w:t>
      </w:r>
      <w:proofErr w:type="spellStart"/>
      <w:r w:rsidRPr="008C7B3D">
        <w:rPr>
          <w:b/>
          <w:u w:val="single"/>
          <w:lang w:val="nl-BE"/>
        </w:rPr>
        <w:t>rechtsperso</w:t>
      </w:r>
      <w:proofErr w:type="spellEnd"/>
      <w:r w:rsidRPr="008C7B3D">
        <w:rPr>
          <w:b/>
          <w:u w:val="single"/>
          <w:lang w:val="nl-BE"/>
        </w:rPr>
        <w:t>(o)n(en) is/zijn</w:t>
      </w:r>
    </w:p>
    <w:p w14:paraId="350DA4F6" w14:textId="77777777" w:rsidR="007141A3" w:rsidRPr="008C7B3D" w:rsidRDefault="007141A3">
      <w:pPr>
        <w:pStyle w:val="BlockText"/>
        <w:spacing w:before="0" w:line="240" w:lineRule="auto"/>
        <w:ind w:left="0" w:right="0" w:firstLine="567"/>
        <w:rPr>
          <w:lang w:val="nl-BE"/>
        </w:rPr>
      </w:pPr>
      <w:r w:rsidRPr="008C7B3D">
        <w:rPr>
          <w:lang w:val="nl-BE"/>
        </w:rPr>
        <w:t>Vorm, benaming, hoofdzetel, oprichtingsakte, inschrijvingsnummer bij het handelsregister en de BTW,</w:t>
      </w:r>
    </w:p>
    <w:p w14:paraId="677E4270" w14:textId="77777777" w:rsidR="007141A3" w:rsidRPr="008C7B3D" w:rsidRDefault="007141A3">
      <w:pPr>
        <w:pStyle w:val="BlockText"/>
        <w:spacing w:before="0" w:line="240" w:lineRule="auto"/>
        <w:ind w:left="0" w:right="0" w:firstLine="567"/>
        <w:rPr>
          <w:lang w:val="nl-BE"/>
        </w:rPr>
      </w:pPr>
    </w:p>
    <w:p w14:paraId="71C7B10E" w14:textId="77777777" w:rsidR="007141A3" w:rsidRPr="008C7B3D" w:rsidRDefault="007141A3">
      <w:pPr>
        <w:pStyle w:val="BlockText"/>
        <w:spacing w:before="0" w:line="240" w:lineRule="auto"/>
        <w:ind w:left="426" w:right="0" w:hanging="284"/>
        <w:rPr>
          <w:b/>
          <w:u w:val="single"/>
          <w:lang w:val="nl-BE"/>
        </w:rPr>
      </w:pPr>
      <w:r w:rsidRPr="008C7B3D">
        <w:rPr>
          <w:lang w:val="nl-BE"/>
        </w:rPr>
        <w:t xml:space="preserve"> B. </w:t>
      </w:r>
      <w:r w:rsidRPr="008C7B3D">
        <w:rPr>
          <w:b/>
          <w:u w:val="single"/>
          <w:lang w:val="nl-BE"/>
        </w:rPr>
        <w:t>Eventuele tussenkomst in de akte, in de hoedanigheid van solidaire en ondeelbare medeschuldenaars, van fysieke en/of rechtspersonen</w:t>
      </w:r>
    </w:p>
    <w:p w14:paraId="14E05548" w14:textId="77777777" w:rsidR="007141A3" w:rsidRPr="008C7B3D" w:rsidRDefault="007141A3">
      <w:pPr>
        <w:pStyle w:val="BlockText"/>
        <w:spacing w:before="0" w:line="240" w:lineRule="auto"/>
        <w:ind w:right="0" w:hanging="283"/>
        <w:rPr>
          <w:lang w:val="nl-BE"/>
        </w:rPr>
      </w:pPr>
    </w:p>
    <w:p w14:paraId="7D3473E9" w14:textId="77777777" w:rsidR="007141A3" w:rsidRPr="008C7B3D" w:rsidRDefault="007141A3">
      <w:pPr>
        <w:pStyle w:val="BlockText"/>
        <w:tabs>
          <w:tab w:val="right" w:pos="8823"/>
        </w:tabs>
        <w:spacing w:before="0" w:line="240" w:lineRule="auto"/>
        <w:ind w:left="0" w:right="0"/>
        <w:rPr>
          <w:lang w:val="nl-BE"/>
        </w:rPr>
      </w:pPr>
      <w:r w:rsidRPr="008C7B3D">
        <w:rPr>
          <w:b/>
          <w:lang w:val="nl-BE"/>
        </w:rPr>
        <w:t>in deze akte onveranderlijk genoemd «</w:t>
      </w:r>
      <w:r w:rsidRPr="008C7B3D">
        <w:rPr>
          <w:lang w:val="nl-BE"/>
        </w:rPr>
        <w:t> </w:t>
      </w:r>
      <w:r w:rsidRPr="008C7B3D">
        <w:rPr>
          <w:b/>
          <w:lang w:val="nl-BE"/>
        </w:rPr>
        <w:t>DE KREDIETNEMERS</w:t>
      </w:r>
      <w:r w:rsidRPr="008C7B3D">
        <w:rPr>
          <w:lang w:val="nl-BE"/>
        </w:rPr>
        <w:t xml:space="preserve"> », </w:t>
      </w:r>
      <w:r w:rsidRPr="008C7B3D">
        <w:rPr>
          <w:lang w:val="nl-BE"/>
        </w:rPr>
        <w:tab/>
      </w:r>
      <w:r w:rsidRPr="008C7B3D">
        <w:rPr>
          <w:b/>
          <w:u w:val="single"/>
          <w:lang w:val="nl-BE"/>
        </w:rPr>
        <w:t>TEN TWEEDE ZIJDE</w:t>
      </w:r>
      <w:r w:rsidRPr="008C7B3D">
        <w:rPr>
          <w:b/>
          <w:lang w:val="nl-BE"/>
        </w:rPr>
        <w:t>,</w:t>
      </w:r>
    </w:p>
    <w:p w14:paraId="604F99CB" w14:textId="77777777" w:rsidR="007141A3" w:rsidRPr="008C7B3D" w:rsidRDefault="007141A3">
      <w:pPr>
        <w:pStyle w:val="BlockText"/>
        <w:spacing w:before="0" w:line="240" w:lineRule="auto"/>
        <w:ind w:left="0" w:right="0"/>
        <w:rPr>
          <w:lang w:val="nl-BE"/>
        </w:rPr>
      </w:pPr>
    </w:p>
    <w:p w14:paraId="68CBED2A" w14:textId="77777777" w:rsidR="007141A3" w:rsidRPr="008C7B3D" w:rsidRDefault="007141A3">
      <w:pPr>
        <w:pStyle w:val="BlockText"/>
        <w:spacing w:before="0" w:line="240" w:lineRule="auto"/>
        <w:ind w:left="0" w:right="0"/>
        <w:rPr>
          <w:lang w:val="nl-BE"/>
        </w:rPr>
      </w:pPr>
      <w:r w:rsidRPr="008C7B3D">
        <w:rPr>
          <w:lang w:val="nl-BE"/>
        </w:rPr>
        <w:t xml:space="preserve">3) </w:t>
      </w:r>
      <w:r w:rsidRPr="008C7B3D">
        <w:rPr>
          <w:b/>
          <w:u w:val="single"/>
          <w:lang w:val="nl-BE"/>
        </w:rPr>
        <w:t>Eventuele tussenkomst in de akte, in de hoedanigheid van derden pandgevers, van fysieke en/of rechtspersonen</w:t>
      </w:r>
      <w:r w:rsidRPr="008C7B3D">
        <w:rPr>
          <w:lang w:val="nl-BE"/>
        </w:rPr>
        <w:t xml:space="preserve"> </w:t>
      </w:r>
    </w:p>
    <w:p w14:paraId="72565E17" w14:textId="77777777" w:rsidR="007141A3" w:rsidRPr="008C7B3D" w:rsidRDefault="007141A3">
      <w:pPr>
        <w:pStyle w:val="BlockText"/>
        <w:spacing w:before="0" w:line="240" w:lineRule="auto"/>
        <w:ind w:left="0" w:right="0"/>
        <w:rPr>
          <w:lang w:val="nl-BE"/>
        </w:rPr>
      </w:pPr>
    </w:p>
    <w:p w14:paraId="76647F87" w14:textId="77777777" w:rsidR="007141A3" w:rsidRPr="008C7B3D" w:rsidRDefault="007141A3">
      <w:pPr>
        <w:tabs>
          <w:tab w:val="right" w:pos="8823"/>
        </w:tabs>
        <w:jc w:val="both"/>
        <w:rPr>
          <w:b/>
          <w:lang w:val="nl-BE"/>
        </w:rPr>
      </w:pPr>
      <w:r w:rsidRPr="008C7B3D">
        <w:rPr>
          <w:b/>
          <w:lang w:val="nl-BE"/>
        </w:rPr>
        <w:t>in deze akte genoemd</w:t>
      </w:r>
      <w:r w:rsidRPr="008C7B3D">
        <w:rPr>
          <w:lang w:val="nl-BE"/>
        </w:rPr>
        <w:t xml:space="preserve"> «</w:t>
      </w:r>
      <w:r w:rsidRPr="008C7B3D">
        <w:rPr>
          <w:b/>
          <w:lang w:val="nl-BE"/>
        </w:rPr>
        <w:t> DE TUSSENKOMENDE DERDEN </w:t>
      </w:r>
      <w:r w:rsidRPr="008C7B3D">
        <w:rPr>
          <w:lang w:val="nl-BE"/>
        </w:rPr>
        <w:t>»,</w:t>
      </w:r>
      <w:r w:rsidRPr="008C7B3D">
        <w:rPr>
          <w:lang w:val="nl-BE"/>
        </w:rPr>
        <w:tab/>
      </w:r>
      <w:r w:rsidRPr="008C7B3D">
        <w:rPr>
          <w:b/>
          <w:u w:val="single"/>
          <w:lang w:val="nl-BE"/>
        </w:rPr>
        <w:t>TEN DERDE ZIJDE</w:t>
      </w:r>
      <w:r w:rsidRPr="008C7B3D">
        <w:rPr>
          <w:b/>
          <w:lang w:val="nl-BE"/>
        </w:rPr>
        <w:t>.</w:t>
      </w:r>
    </w:p>
    <w:p w14:paraId="087D62E5" w14:textId="77777777" w:rsidR="007141A3" w:rsidRPr="008C7B3D" w:rsidRDefault="007141A3">
      <w:pPr>
        <w:jc w:val="both"/>
        <w:rPr>
          <w:b/>
          <w:lang w:val="nl-BE"/>
        </w:rPr>
      </w:pPr>
    </w:p>
    <w:p w14:paraId="4D47A09D" w14:textId="77777777" w:rsidR="007141A3" w:rsidRPr="008C7B3D" w:rsidRDefault="007141A3">
      <w:pPr>
        <w:jc w:val="both"/>
        <w:rPr>
          <w:b/>
          <w:lang w:val="nl-BE"/>
        </w:rPr>
      </w:pPr>
      <w:r w:rsidRPr="008C7B3D">
        <w:rPr>
          <w:b/>
          <w:lang w:val="nl-BE"/>
        </w:rPr>
        <w:t>Dewelke verklaren de volgende overeenkomst te hebben gesloten :</w:t>
      </w:r>
    </w:p>
    <w:p w14:paraId="4FE9946E" w14:textId="77777777" w:rsidR="007141A3" w:rsidRPr="008C7B3D" w:rsidRDefault="007141A3">
      <w:pPr>
        <w:jc w:val="both"/>
        <w:rPr>
          <w:b/>
          <w:lang w:val="nl-BE"/>
        </w:rPr>
      </w:pPr>
    </w:p>
    <w:p w14:paraId="4EF0214B" w14:textId="77777777" w:rsidR="007141A3" w:rsidRPr="008C7B3D" w:rsidRDefault="007141A3">
      <w:pPr>
        <w:jc w:val="both"/>
        <w:rPr>
          <w:lang w:val="nl-BE"/>
        </w:rPr>
      </w:pPr>
      <w:r w:rsidRPr="008C7B3D">
        <w:rPr>
          <w:b/>
          <w:u w:val="single"/>
          <w:lang w:val="nl-BE"/>
        </w:rPr>
        <w:t>ARTIKEL 1</w:t>
      </w:r>
      <w:r w:rsidRPr="008C7B3D">
        <w:rPr>
          <w:b/>
          <w:lang w:val="nl-BE"/>
        </w:rPr>
        <w:t xml:space="preserve"> </w:t>
      </w:r>
      <w:r w:rsidRPr="008C7B3D">
        <w:rPr>
          <w:lang w:val="nl-BE"/>
        </w:rPr>
        <w:t xml:space="preserve">– Per brief van </w:t>
      </w:r>
      <w:r w:rsidR="008C7B3D" w:rsidRPr="00D4561D">
        <w:rPr>
          <w:lang w:val="nl-BE"/>
        </w:rPr>
        <w:t>“*”</w:t>
      </w:r>
      <w:r w:rsidRPr="008C7B3D">
        <w:rPr>
          <w:lang w:val="nl-BE"/>
        </w:rPr>
        <w:t xml:space="preserve"> heeft de Bank aan de kredietnemers, die zich hoofdelijk verbinden, een krediet voor onbepaalde looptijd geopend van</w:t>
      </w:r>
      <w:r w:rsidR="008C7B3D">
        <w:rPr>
          <w:lang w:val="nl-BE"/>
        </w:rPr>
        <w:t xml:space="preserve"> </w:t>
      </w:r>
      <w:r w:rsidR="008C7B3D" w:rsidRPr="00D4561D">
        <w:rPr>
          <w:lang w:val="nl-BE"/>
        </w:rPr>
        <w:t xml:space="preserve">“*” </w:t>
      </w:r>
      <w:r w:rsidRPr="008C7B3D">
        <w:rPr>
          <w:lang w:val="nl-BE"/>
        </w:rPr>
        <w:t xml:space="preserve"> EUR </w:t>
      </w:r>
      <w:r w:rsidRPr="008C7B3D">
        <w:rPr>
          <w:i/>
          <w:lang w:val="nl-BE"/>
        </w:rPr>
        <w:t>(voluit geschreven)</w:t>
      </w:r>
      <w:r w:rsidRPr="008C7B3D">
        <w:rPr>
          <w:lang w:val="nl-BE"/>
        </w:rPr>
        <w:t xml:space="preserve"> te verwezenlijken door voorschotten of op eender welke andere, tussen de partijen overeengekomen manier. Deze kredietopening wordt bevestigd door de huidige akte waarop de hiernavolgende voorwaarden van toepassing zijn en bovendien, voor zover er niet van afgeweken wordt, door de voorwaarden van het Algemeen Reglement van de Kredietopeningen (editie 02/02) gehecht aan onderhavige akte, alsook door de clausules en voorwaarden bepaald in de overeenkomsten tussen partijen of voorzien in de briefwisseling gevoerd tussen de partijen, meer bepaald in de brief met het aanbod van kredietopening en in de brie(f)(ven) met het aanbod van voorschot, eveneens gehecht aan onderhavige akte. De akte, het Algemeen Reglement van de Kredietopeningen (editie 02/02) alsook de brief met het aanbod van kredietopening en de brie(f)(ven) met het aanbod van voorschot zullen voor akkoord getekend worden door de partijen en zullen onder hen één en dezelfde overeenkomst vormen.</w:t>
      </w:r>
    </w:p>
    <w:p w14:paraId="6D3A1236" w14:textId="77777777" w:rsidR="007141A3" w:rsidRPr="008C7B3D" w:rsidRDefault="007141A3">
      <w:pPr>
        <w:jc w:val="both"/>
        <w:rPr>
          <w:lang w:val="nl-BE"/>
        </w:rPr>
      </w:pPr>
      <w:r w:rsidRPr="008C7B3D">
        <w:rPr>
          <w:lang w:val="nl-BE"/>
        </w:rPr>
        <w:t xml:space="preserve">Op het krediet zullen aangerekend en gewaarborgd worden door de toegestane hypotheek in artikel 3, alle reeds bestaande of nog af te sluiten verbintenissen, alle verschuldigde sommen of deze die nog zouden verschuldigd zijn aan de Bank door de kredietnemers,-gezamenlijk of afzonderlijk -, hetzij krachtens voorschotten op termijn of in kaskrediet, of kasfaciliteiten toegestaan door de Bank, discontering, </w:t>
      </w:r>
      <w:proofErr w:type="spellStart"/>
      <w:r w:rsidRPr="008C7B3D">
        <w:rPr>
          <w:lang w:val="nl-BE"/>
        </w:rPr>
        <w:t>herdiscontering</w:t>
      </w:r>
      <w:proofErr w:type="spellEnd"/>
      <w:r w:rsidRPr="008C7B3D">
        <w:rPr>
          <w:lang w:val="nl-BE"/>
        </w:rPr>
        <w:t xml:space="preserve"> of endossering van handelspapier, subrogatie van de Bank in de rechten van een andere schuldeiser, het bestaan van een debetsaldo op een rekening geopend door de kredietnemers en in het algemeen bancaire en financiële verrichtingen die de partijen zouden afsluiten op professioneel vlak of privé. Zullen eveneens op het krediet aangerekend worden, de sommen die de rechthebbenden en de erfgenamen van de kredietnemers of één van hen, die voor eigen rekening de relaties van de kredietnemers met de Bank zouden hebben voortgezet, aan de Bank zouden kunnen verschuldigd zijn – gezamenlijk of afzonderlijk – in hoofde van ontvangen voorschotten of verrichtingen verwezenlijkt na het overlijden van de kredietnemers of één van hen.</w:t>
      </w:r>
    </w:p>
    <w:p w14:paraId="67D984E5" w14:textId="77777777" w:rsidR="007141A3" w:rsidRPr="008C7B3D" w:rsidRDefault="007141A3">
      <w:pPr>
        <w:jc w:val="both"/>
        <w:rPr>
          <w:lang w:val="nl-BE"/>
        </w:rPr>
      </w:pPr>
      <w:r w:rsidRPr="008C7B3D">
        <w:rPr>
          <w:lang w:val="nl-BE"/>
        </w:rPr>
        <w:t xml:space="preserve">De persoon tegen wie de hypotheek wordt ingeschreven of de derde-bezitter van het met hypotheek bezwaarde goed kan de hypotheek steeds opzeggen met een opzegging van zes maanden, die aan de schuldeiser wordt gericht bij ter post aangetekend schrijven met ontvangstmelding. De opzegtermijn gaat in op de dag van ontvangstmelding. Inzake toekomstige schuldvorderingen heeft de opzegging tot gevolg dat de hypotheek enkel nog strekt tot zekerheid van gewaarborgde schuldvorderingen in omloop bij het verstrijken van de opzegtermijn. Inzake overeenkomsten van onbepaalde duur blijven slechts de gewaarborgde schuldvorderingen over die bestaan bij het verstrijken van de opzegtermijn als gevolg van de uitvoering van het contract. Wie de hypotheek opzegt, kan eisen dat de schuldeiser hem schriftelijk de inventaris meedeelt van de schuldvorderingen die nog gewaarborgd zijn op het einde van de opzeggingstermijn. </w:t>
      </w:r>
    </w:p>
    <w:p w14:paraId="1ECC38F5" w14:textId="77777777" w:rsidR="007141A3" w:rsidRPr="008C7B3D" w:rsidRDefault="007141A3">
      <w:pPr>
        <w:jc w:val="both"/>
        <w:rPr>
          <w:lang w:val="nl-BE"/>
        </w:rPr>
      </w:pPr>
      <w:r w:rsidRPr="008C7B3D">
        <w:rPr>
          <w:lang w:val="nl-BE"/>
        </w:rPr>
        <w:t>Het openen van onderhavig krediet brengt geen ambtshalve aanvaarding met zich mee van alle verrichtingen die hierdoor kunnen gedekt worden; ieder van deze verrichtingen dient het voorwerp uit te maken van een afzonderlijke beslissing van de Bank; waarvan de voorwaarden zullen vastgesteld worden per brief, tenzij deze voortvloeien uit wettelijke bepalingen of in het algemeen uit om het even welke overeenkomst afgesloten tussen de partijen.</w:t>
      </w:r>
    </w:p>
    <w:p w14:paraId="1BB1DAD5" w14:textId="77777777" w:rsidR="007141A3" w:rsidRPr="008C7B3D" w:rsidRDefault="007141A3">
      <w:pPr>
        <w:jc w:val="both"/>
        <w:rPr>
          <w:lang w:val="nl-BE"/>
        </w:rPr>
      </w:pPr>
      <w:r w:rsidRPr="008C7B3D">
        <w:rPr>
          <w:lang w:val="nl-BE"/>
        </w:rPr>
        <w:t>Er wordt overeengekomen dat de aanrekeningen waarvan sprake hierboven, in geen geval aanleiding zullen geven tot schuldvernieuwing en dat van het krediet zal kunnen gebruik gemaakt worden op hernieuwde en opeenvolgende wijze.</w:t>
      </w:r>
    </w:p>
    <w:p w14:paraId="1124F054" w14:textId="77777777" w:rsidR="007141A3" w:rsidRPr="008C7B3D" w:rsidRDefault="007141A3">
      <w:pPr>
        <w:jc w:val="both"/>
        <w:rPr>
          <w:lang w:val="nl-BE"/>
        </w:rPr>
      </w:pPr>
      <w:r w:rsidRPr="008C7B3D">
        <w:rPr>
          <w:b/>
          <w:u w:val="single"/>
          <w:lang w:val="nl-BE"/>
        </w:rPr>
        <w:t>ARTIKEL 2</w:t>
      </w:r>
      <w:r w:rsidRPr="008C7B3D">
        <w:rPr>
          <w:lang w:val="nl-BE"/>
        </w:rPr>
        <w:t xml:space="preserve"> – De rentevoet van de door de kredietnemers verschuldigde interest en de modaliteiten van betaling van deze interest zullen verschillen naargelang de aard van de verrichtingen; zij zullen vastgesteld en gewijzigd worden per brief of bericht of zullen voortvloeien uit het oorspronkelijk contract en uit zijn aanhangsels ingeval van subrogatie van de Bank in de rechten van een andere schuldeiser. Ingeval van verrichtingen in kaskrediet of discontering van handelspapier kunnen commissielonen voorzien worden die insgelijks per brief of bericht zullen vastgesteld en gewijzigd worden. </w:t>
      </w:r>
    </w:p>
    <w:p w14:paraId="51247CEA" w14:textId="77777777" w:rsidR="007141A3" w:rsidRPr="008C7B3D" w:rsidRDefault="007141A3">
      <w:pPr>
        <w:jc w:val="both"/>
        <w:rPr>
          <w:lang w:val="nl-BE"/>
        </w:rPr>
      </w:pPr>
      <w:r w:rsidRPr="008C7B3D">
        <w:rPr>
          <w:lang w:val="nl-BE"/>
        </w:rPr>
        <w:lastRenderedPageBreak/>
        <w:t xml:space="preserve">Om de betaling van de drie jaar interesten, gewaarborgd door art. 87 van de hypothecaire wet van 16 december 1851, te vrijwaren, wordt de rentevoet gelijkgesteld met de wettelijke rentevoet geldend op het tijdstip waarop het krediet een einde neemt, te verhogen met zeven procentpunten per jaar, behoudens wijzigingen aangebracht in afzonderlijke overeenkomsten hierna afgesloten. </w:t>
      </w:r>
    </w:p>
    <w:p w14:paraId="7FD8F1E6" w14:textId="77777777" w:rsidR="007141A3" w:rsidRPr="008C7B3D" w:rsidRDefault="007141A3">
      <w:pPr>
        <w:jc w:val="both"/>
        <w:rPr>
          <w:b/>
          <w:u w:val="single"/>
          <w:lang w:val="nl-BE"/>
        </w:rPr>
      </w:pPr>
      <w:r w:rsidRPr="008C7B3D">
        <w:rPr>
          <w:b/>
          <w:u w:val="single"/>
          <w:lang w:val="nl-BE"/>
        </w:rPr>
        <w:t>ARTIKEL 3 - ZEKERHEDEN</w:t>
      </w:r>
    </w:p>
    <w:p w14:paraId="40C4FD0A" w14:textId="77777777" w:rsidR="007141A3" w:rsidRPr="008C7B3D" w:rsidRDefault="007141A3">
      <w:pPr>
        <w:jc w:val="both"/>
        <w:rPr>
          <w:lang w:val="nl-BE"/>
        </w:rPr>
      </w:pPr>
      <w:r w:rsidRPr="008C7B3D">
        <w:rPr>
          <w:b/>
          <w:lang w:val="nl-BE"/>
        </w:rPr>
        <w:t>HYPOTHEEK</w:t>
      </w:r>
    </w:p>
    <w:p w14:paraId="602C4578" w14:textId="77777777" w:rsidR="007141A3" w:rsidRPr="008C7B3D" w:rsidRDefault="007141A3">
      <w:pPr>
        <w:jc w:val="both"/>
        <w:rPr>
          <w:lang w:val="nl-BE"/>
        </w:rPr>
      </w:pPr>
      <w:r w:rsidRPr="008C7B3D">
        <w:rPr>
          <w:lang w:val="nl-BE"/>
        </w:rPr>
        <w:t xml:space="preserve">Tot zekerheid en waarborg van de verbintenissen voortvloeiend uit onderhavige akte van kredietopening, verklaren </w:t>
      </w:r>
      <w:r w:rsidR="008C7B3D" w:rsidRPr="00D4561D">
        <w:rPr>
          <w:lang w:val="nl-BE"/>
        </w:rPr>
        <w:t>“*”</w:t>
      </w:r>
      <w:r w:rsidRPr="008C7B3D">
        <w:rPr>
          <w:lang w:val="nl-BE"/>
        </w:rPr>
        <w:t xml:space="preserve"> ten gunste van de Bank die aanvaardt, de volgende onroerende goederen bijzonder te hypothekeren alsook de roerende goederen die door de wet als onroerend worden beschouwd door bestemming of door inlijving. </w:t>
      </w:r>
    </w:p>
    <w:p w14:paraId="1D71E875" w14:textId="77777777" w:rsidR="007141A3" w:rsidRPr="008C7B3D" w:rsidRDefault="007141A3">
      <w:pPr>
        <w:jc w:val="both"/>
      </w:pPr>
      <w:proofErr w:type="spellStart"/>
      <w:r w:rsidRPr="008C7B3D">
        <w:t>Inschrijving</w:t>
      </w:r>
      <w:proofErr w:type="spellEnd"/>
      <w:r w:rsidRPr="008C7B3D">
        <w:t xml:space="preserve"> </w:t>
      </w:r>
      <w:proofErr w:type="spellStart"/>
      <w:r w:rsidRPr="008C7B3D">
        <w:t>zal</w:t>
      </w:r>
      <w:proofErr w:type="spellEnd"/>
      <w:r w:rsidRPr="008C7B3D">
        <w:t xml:space="preserve"> </w:t>
      </w:r>
      <w:proofErr w:type="spellStart"/>
      <w:r w:rsidRPr="008C7B3D">
        <w:t>worden</w:t>
      </w:r>
      <w:proofErr w:type="spellEnd"/>
      <w:r w:rsidRPr="008C7B3D">
        <w:t xml:space="preserve"> </w:t>
      </w:r>
      <w:proofErr w:type="spellStart"/>
      <w:r w:rsidRPr="008C7B3D">
        <w:t>genomen</w:t>
      </w:r>
      <w:proofErr w:type="spellEnd"/>
      <w:r w:rsidRPr="008C7B3D">
        <w:t xml:space="preserve"> : </w:t>
      </w:r>
    </w:p>
    <w:p w14:paraId="35EF9E81" w14:textId="77777777" w:rsidR="007141A3" w:rsidRPr="008C7B3D" w:rsidRDefault="007141A3">
      <w:pPr>
        <w:numPr>
          <w:ilvl w:val="0"/>
          <w:numId w:val="16"/>
        </w:numPr>
        <w:jc w:val="both"/>
        <w:rPr>
          <w:lang w:val="nl-BE"/>
        </w:rPr>
      </w:pPr>
      <w:r w:rsidRPr="008C7B3D">
        <w:rPr>
          <w:lang w:val="nl-BE"/>
        </w:rPr>
        <w:t xml:space="preserve">ten belope van </w:t>
      </w:r>
      <w:r w:rsidR="008C7B3D" w:rsidRPr="00D4561D">
        <w:rPr>
          <w:lang w:val="nl-BE"/>
        </w:rPr>
        <w:t xml:space="preserve">“*” </w:t>
      </w:r>
      <w:r w:rsidRPr="008C7B3D">
        <w:rPr>
          <w:lang w:val="nl-BE"/>
        </w:rPr>
        <w:t xml:space="preserve">EUR, bedrag in hoofdsom, </w:t>
      </w:r>
    </w:p>
    <w:p w14:paraId="44A09813" w14:textId="77777777" w:rsidR="007141A3" w:rsidRPr="008C7B3D" w:rsidRDefault="007141A3">
      <w:pPr>
        <w:numPr>
          <w:ilvl w:val="0"/>
          <w:numId w:val="16"/>
        </w:numPr>
        <w:jc w:val="both"/>
        <w:rPr>
          <w:lang w:val="nl-BE"/>
        </w:rPr>
      </w:pPr>
      <w:r w:rsidRPr="008C7B3D">
        <w:rPr>
          <w:lang w:val="nl-BE"/>
        </w:rPr>
        <w:t xml:space="preserve">ten belope van </w:t>
      </w:r>
      <w:r w:rsidR="008C7B3D" w:rsidRPr="00D4561D">
        <w:rPr>
          <w:lang w:val="nl-BE"/>
        </w:rPr>
        <w:t>“*”</w:t>
      </w:r>
      <w:r w:rsidR="008C7B3D">
        <w:rPr>
          <w:lang w:val="nl-BE"/>
        </w:rPr>
        <w:t xml:space="preserve"> </w:t>
      </w:r>
      <w:r w:rsidRPr="008C7B3D">
        <w:rPr>
          <w:lang w:val="nl-BE"/>
        </w:rPr>
        <w:t>EUR, voor alle interesten en uitgaven niet gewaarborgd door voorrecht of hypotheek inbegrepen alle erelonen en kosten van welke aard ook,</w:t>
      </w:r>
    </w:p>
    <w:p w14:paraId="5FF6E93E" w14:textId="77777777" w:rsidR="007141A3" w:rsidRPr="008C7B3D" w:rsidRDefault="007141A3">
      <w:pPr>
        <w:numPr>
          <w:ilvl w:val="0"/>
          <w:numId w:val="16"/>
        </w:numPr>
        <w:jc w:val="both"/>
        <w:rPr>
          <w:lang w:val="nl-BE"/>
        </w:rPr>
      </w:pPr>
      <w:r w:rsidRPr="008C7B3D">
        <w:rPr>
          <w:lang w:val="nl-BE"/>
        </w:rPr>
        <w:t xml:space="preserve">voor drie jaar interesten waarvan de rang door de wet wordt gewaarborgd. </w:t>
      </w:r>
    </w:p>
    <w:p w14:paraId="1E5ECF49" w14:textId="77777777" w:rsidR="007141A3" w:rsidRPr="008C7B3D" w:rsidRDefault="007141A3">
      <w:pPr>
        <w:rPr>
          <w:lang w:val="nl-BE"/>
        </w:rPr>
      </w:pPr>
    </w:p>
    <w:p w14:paraId="3642DC3E" w14:textId="77777777" w:rsidR="007141A3" w:rsidRPr="008C7B3D" w:rsidRDefault="007141A3">
      <w:pPr>
        <w:pStyle w:val="Heading1"/>
        <w:spacing w:before="0" w:line="240" w:lineRule="auto"/>
        <w:ind w:right="0"/>
        <w:jc w:val="left"/>
        <w:rPr>
          <w:b/>
          <w:u w:val="none"/>
          <w:lang w:val="nl-BE"/>
        </w:rPr>
      </w:pPr>
      <w:r w:rsidRPr="008C7B3D">
        <w:rPr>
          <w:b/>
          <w:u w:val="none"/>
          <w:lang w:val="nl-BE"/>
        </w:rPr>
        <w:t>BESCHRIJVING VAN DE GOEDEREN</w:t>
      </w:r>
    </w:p>
    <w:p w14:paraId="3E07FD42" w14:textId="77777777" w:rsidR="007141A3" w:rsidRPr="008C7B3D" w:rsidRDefault="007141A3">
      <w:pPr>
        <w:rPr>
          <w:lang w:val="nl-BE"/>
        </w:rPr>
      </w:pPr>
    </w:p>
    <w:p w14:paraId="538B926F" w14:textId="77777777" w:rsidR="007141A3" w:rsidRPr="008C7B3D" w:rsidRDefault="007141A3">
      <w:pPr>
        <w:rPr>
          <w:u w:val="single"/>
          <w:lang w:val="nl-BE"/>
        </w:rPr>
      </w:pPr>
      <w:r w:rsidRPr="008C7B3D">
        <w:rPr>
          <w:b/>
          <w:u w:val="single"/>
          <w:lang w:val="nl-BE"/>
        </w:rPr>
        <w:t>DERTIGJARIGE</w:t>
      </w:r>
      <w:r w:rsidRPr="008C7B3D">
        <w:rPr>
          <w:b/>
          <w:lang w:val="nl-BE"/>
        </w:rPr>
        <w:t xml:space="preserve"> EIGENDOMSOORSPRONG</w:t>
      </w:r>
    </w:p>
    <w:p w14:paraId="2C7D94C7" w14:textId="77777777" w:rsidR="007141A3" w:rsidRPr="008C7B3D" w:rsidRDefault="007141A3">
      <w:pPr>
        <w:jc w:val="both"/>
        <w:rPr>
          <w:b/>
          <w:u w:val="single"/>
          <w:lang w:val="nl-BE"/>
        </w:rPr>
      </w:pPr>
    </w:p>
    <w:p w14:paraId="68C151B5" w14:textId="77777777" w:rsidR="007141A3" w:rsidRPr="008C7B3D" w:rsidRDefault="007141A3">
      <w:pPr>
        <w:rPr>
          <w:b/>
          <w:u w:val="single"/>
          <w:lang w:val="nl-BE"/>
        </w:rPr>
      </w:pPr>
      <w:r w:rsidRPr="008C7B3D">
        <w:rPr>
          <w:b/>
          <w:u w:val="single"/>
          <w:lang w:val="nl-BE"/>
        </w:rPr>
        <w:t>(</w:t>
      </w:r>
      <w:r w:rsidRPr="008C7B3D">
        <w:rPr>
          <w:b/>
          <w:lang w:val="nl-BE"/>
        </w:rPr>
        <w:t>Wanneer de hypothecaire inschrijving dient genomen te worden op onverdeelde parten van goederen die de kredietnemers en/of de tussenkomende derden niet volledig toebehoren, dient de volgende clausule ingelast te worden).</w:t>
      </w:r>
    </w:p>
    <w:p w14:paraId="5B688E87" w14:textId="77777777" w:rsidR="007141A3" w:rsidRPr="008C7B3D" w:rsidRDefault="007141A3">
      <w:pPr>
        <w:jc w:val="both"/>
        <w:rPr>
          <w:lang w:val="nl-BE"/>
        </w:rPr>
      </w:pPr>
      <w:r w:rsidRPr="008C7B3D">
        <w:rPr>
          <w:lang w:val="nl-BE"/>
        </w:rPr>
        <w:t xml:space="preserve">De huidige toegestane hypotheek zal van rechtswege ook slaan hetzij op het deel dat (de kredietnemers en/of de tussenkomende derden) zouden kunnen verwerven van hun mede-eigenaars, hetzij op de </w:t>
      </w:r>
      <w:proofErr w:type="spellStart"/>
      <w:r w:rsidRPr="008C7B3D">
        <w:rPr>
          <w:lang w:val="nl-BE"/>
        </w:rPr>
        <w:t>geheelheid</w:t>
      </w:r>
      <w:proofErr w:type="spellEnd"/>
      <w:r w:rsidRPr="008C7B3D">
        <w:rPr>
          <w:lang w:val="nl-BE"/>
        </w:rPr>
        <w:t xml:space="preserve"> van de onroerende goederen, voor het geval (de kredietnemers en/of de tussenkomende derden) er enige eigenaars van worden door verdeling of veiling, dit bij toepassing van art. 883 van het Burgerlijk Wetboek. </w:t>
      </w:r>
    </w:p>
    <w:p w14:paraId="5530C1F5" w14:textId="77777777" w:rsidR="007141A3" w:rsidRPr="008C7B3D" w:rsidRDefault="007141A3">
      <w:pPr>
        <w:jc w:val="both"/>
        <w:rPr>
          <w:lang w:val="nl-BE"/>
        </w:rPr>
      </w:pPr>
      <w:r w:rsidRPr="008C7B3D">
        <w:rPr>
          <w:lang w:val="nl-BE"/>
        </w:rPr>
        <w:t>(De kredietnemers en/of tussenkomende derden) verbinden zich niet over te gaan tot de verdeling of tot de veiling van de onverdeelde goederen, zonder de Bank verwittigd te hebben ten minste 14 dagen op voorhand per aangetekende brief en zolang geen handlichting gegeven werd van de hypotheek toegestaan aan de Bank.</w:t>
      </w:r>
    </w:p>
    <w:p w14:paraId="4A8DC9F1" w14:textId="77777777" w:rsidR="007141A3" w:rsidRPr="008C7B3D" w:rsidRDefault="007141A3">
      <w:pPr>
        <w:jc w:val="both"/>
        <w:rPr>
          <w:lang w:val="nl-BE"/>
        </w:rPr>
      </w:pPr>
    </w:p>
    <w:p w14:paraId="3C88F8A5" w14:textId="77777777" w:rsidR="007141A3" w:rsidRPr="008C7B3D" w:rsidRDefault="008C7B3D">
      <w:pPr>
        <w:jc w:val="both"/>
        <w:rPr>
          <w:b/>
          <w:lang w:val="nl-BE"/>
        </w:rPr>
      </w:pPr>
      <w:r w:rsidRPr="008C7B3D">
        <w:rPr>
          <w:b/>
          <w:lang w:val="nl-BE"/>
        </w:rPr>
        <w:t xml:space="preserve"> </w:t>
      </w:r>
      <w:r w:rsidR="007141A3" w:rsidRPr="008C7B3D">
        <w:rPr>
          <w:b/>
          <w:lang w:val="nl-BE"/>
        </w:rPr>
        <w:t>(Wanneer één van de te hypothekeren goederen door gift met opgelegde lasten verkregen werd, dienen de schenkers tussen te komen en volgende tekst dient dan ingelast te worden).</w:t>
      </w:r>
    </w:p>
    <w:p w14:paraId="6DB7A077" w14:textId="77777777" w:rsidR="007141A3" w:rsidRPr="008C7B3D" w:rsidRDefault="007141A3">
      <w:pPr>
        <w:jc w:val="both"/>
        <w:rPr>
          <w:lang w:val="nl-BE"/>
        </w:rPr>
      </w:pPr>
      <w:r w:rsidRPr="008C7B3D">
        <w:rPr>
          <w:lang w:val="nl-BE"/>
        </w:rPr>
        <w:t xml:space="preserve">Zijn hier tussengekomen : </w:t>
      </w:r>
    </w:p>
    <w:p w14:paraId="3893DCDB" w14:textId="77777777" w:rsidR="007141A3" w:rsidRPr="008C7B3D" w:rsidRDefault="007141A3">
      <w:pPr>
        <w:jc w:val="both"/>
        <w:rPr>
          <w:lang w:val="nl-BE"/>
        </w:rPr>
      </w:pPr>
      <w:r w:rsidRPr="008C7B3D">
        <w:rPr>
          <w:lang w:val="nl-BE"/>
        </w:rPr>
        <w:t xml:space="preserve">die uitdrukkelijk verklaren af te zien tegenover de Bank van alle rechten van herroeping en </w:t>
      </w:r>
      <w:proofErr w:type="spellStart"/>
      <w:r w:rsidRPr="008C7B3D">
        <w:rPr>
          <w:lang w:val="nl-BE"/>
        </w:rPr>
        <w:t>terugkering</w:t>
      </w:r>
      <w:proofErr w:type="spellEnd"/>
      <w:r w:rsidRPr="008C7B3D">
        <w:rPr>
          <w:lang w:val="nl-BE"/>
        </w:rPr>
        <w:t xml:space="preserve"> van de schenking gedaan aan………………….., krachtens akte , ontvangen door Meester              Notaris te                               ,  op              , zolang het voornoemde krediet geopend is. </w:t>
      </w:r>
    </w:p>
    <w:p w14:paraId="1B8C9F7E" w14:textId="77777777" w:rsidR="007141A3" w:rsidRPr="008C7B3D" w:rsidRDefault="007141A3">
      <w:pPr>
        <w:jc w:val="both"/>
        <w:rPr>
          <w:lang w:val="nl-BE"/>
        </w:rPr>
      </w:pPr>
      <w:r w:rsidRPr="008C7B3D">
        <w:rPr>
          <w:lang w:val="nl-BE"/>
        </w:rPr>
        <w:t xml:space="preserve">Deze verzaking is geldig zelfs voor het geval de begiftigden hun verplichtingen niet zouden nakomen tegenover de schenkers. </w:t>
      </w:r>
    </w:p>
    <w:p w14:paraId="7CCF67C2" w14:textId="77777777" w:rsidR="007141A3" w:rsidRPr="008C7B3D" w:rsidRDefault="007141A3">
      <w:pPr>
        <w:jc w:val="both"/>
        <w:rPr>
          <w:lang w:val="nl-BE"/>
        </w:rPr>
      </w:pPr>
      <w:r w:rsidRPr="008C7B3D">
        <w:rPr>
          <w:lang w:val="nl-BE"/>
        </w:rPr>
        <w:t xml:space="preserve">De schenkers verklaren formeel onderhavige hypotheekstelling goed te keuren toegestaan in het voordeel van de Bank en verplichten zich de bezwaarde goederen zelf te laten hypothekeren indien zij deze terug mochten verkrijgen. </w:t>
      </w:r>
    </w:p>
    <w:p w14:paraId="3BCC6627" w14:textId="77777777" w:rsidR="007141A3" w:rsidRPr="008C7B3D" w:rsidRDefault="007141A3">
      <w:pPr>
        <w:jc w:val="both"/>
        <w:rPr>
          <w:lang w:val="nl-BE"/>
        </w:rPr>
      </w:pPr>
      <w:r w:rsidRPr="008C7B3D">
        <w:rPr>
          <w:lang w:val="nl-BE"/>
        </w:rPr>
        <w:t xml:space="preserve">Er wordt uitdrukkelijk bedongen tussen de Bank en de schenkers dat voor het geval de schenkers voornoemde verbintenis niet zouden eerbiedigen, de schenkers zich verbinden, de Bank schadeloos te stellen voor al de nadelen die voor haar zouden kunnen voortvloeien uit de niet-naleving dezer verbintenis, schadeloosstelling die vanaf heden wordt vastgelegd op het bedrag dat de kredietnemers aan de Bank verschuldigd zijn. </w:t>
      </w:r>
    </w:p>
    <w:p w14:paraId="2B77B691" w14:textId="77777777" w:rsidR="007141A3" w:rsidRPr="008C7B3D" w:rsidRDefault="007141A3">
      <w:pPr>
        <w:jc w:val="both"/>
        <w:rPr>
          <w:lang w:val="nl-BE"/>
        </w:rPr>
      </w:pPr>
    </w:p>
    <w:p w14:paraId="2AA3AEB2" w14:textId="77777777" w:rsidR="007141A3" w:rsidRPr="008C7B3D" w:rsidRDefault="008C7B3D">
      <w:pPr>
        <w:pStyle w:val="Heading2"/>
        <w:spacing w:before="0" w:line="240" w:lineRule="auto"/>
        <w:ind w:right="0"/>
        <w:rPr>
          <w:sz w:val="16"/>
          <w:u w:val="none"/>
          <w:lang w:val="nl-BE"/>
        </w:rPr>
      </w:pPr>
      <w:bookmarkStart w:id="1" w:name="profisc1"/>
      <w:r w:rsidRPr="00D4561D">
        <w:rPr>
          <w:u w:val="none"/>
          <w:lang w:val="nl-BE"/>
        </w:rPr>
        <w:t xml:space="preserve">“*” </w:t>
      </w:r>
      <w:r w:rsidR="007141A3" w:rsidRPr="008C7B3D">
        <w:rPr>
          <w:sz w:val="16"/>
          <w:u w:val="none"/>
          <w:lang w:val="nl-BE"/>
        </w:rPr>
        <w:t xml:space="preserve">Pro </w:t>
      </w:r>
      <w:proofErr w:type="spellStart"/>
      <w:r w:rsidR="007141A3" w:rsidRPr="008C7B3D">
        <w:rPr>
          <w:sz w:val="16"/>
          <w:u w:val="none"/>
          <w:lang w:val="nl-BE"/>
        </w:rPr>
        <w:t>fisco</w:t>
      </w:r>
      <w:proofErr w:type="spellEnd"/>
      <w:r w:rsidR="007141A3" w:rsidRPr="008C7B3D">
        <w:rPr>
          <w:sz w:val="16"/>
          <w:u w:val="none"/>
          <w:lang w:val="nl-BE"/>
        </w:rPr>
        <w:t xml:space="preserve"> verklaring van niet-samenvoeging van zekerheden </w:t>
      </w:r>
    </w:p>
    <w:p w14:paraId="6471AA38" w14:textId="77777777" w:rsidR="00D52DCF" w:rsidRPr="008C7B3D" w:rsidRDefault="007141A3">
      <w:pPr>
        <w:jc w:val="both"/>
        <w:rPr>
          <w:lang w:val="nl-BE"/>
        </w:rPr>
      </w:pPr>
      <w:r w:rsidRPr="008C7B3D">
        <w:rPr>
          <w:lang w:val="nl-BE"/>
        </w:rPr>
        <w:t>Er</w:t>
      </w:r>
      <w:r w:rsidR="008D0170" w:rsidRPr="008C7B3D">
        <w:rPr>
          <w:lang w:val="nl-BE"/>
        </w:rPr>
        <w:t xml:space="preserve"> is </w:t>
      </w:r>
      <w:r w:rsidRPr="008C7B3D">
        <w:rPr>
          <w:lang w:val="nl-BE"/>
        </w:rPr>
        <w:t>uitdrukkelijk overeengekomen dat de</w:t>
      </w:r>
      <w:r w:rsidR="008D0170" w:rsidRPr="008C7B3D">
        <w:rPr>
          <w:lang w:val="nl-BE"/>
        </w:rPr>
        <w:t xml:space="preserve"> gevestigde zekerheden (hypotheken) niet gecumuleerd kunnen worden en dat zij maximum ten belope van</w:t>
      </w:r>
      <w:r w:rsidRPr="008C7B3D">
        <w:rPr>
          <w:lang w:val="nl-BE"/>
        </w:rPr>
        <w:t xml:space="preserve"> </w:t>
      </w:r>
      <w:r w:rsidR="008C7B3D" w:rsidRPr="00D4561D">
        <w:rPr>
          <w:lang w:val="nl-BE"/>
        </w:rPr>
        <w:t xml:space="preserve">“*” </w:t>
      </w:r>
      <w:r w:rsidRPr="008C7B3D">
        <w:rPr>
          <w:lang w:val="nl-BE"/>
        </w:rPr>
        <w:t>EUR in hoofdsom</w:t>
      </w:r>
      <w:r w:rsidR="008D0170" w:rsidRPr="008C7B3D">
        <w:rPr>
          <w:lang w:val="nl-BE"/>
        </w:rPr>
        <w:t xml:space="preserve"> en</w:t>
      </w:r>
      <w:r w:rsidRPr="008C7B3D">
        <w:rPr>
          <w:lang w:val="nl-BE"/>
        </w:rPr>
        <w:t xml:space="preserve"> </w:t>
      </w:r>
      <w:r w:rsidR="008C7B3D" w:rsidRPr="00D4561D">
        <w:rPr>
          <w:lang w:val="nl-BE"/>
        </w:rPr>
        <w:t xml:space="preserve">“*” </w:t>
      </w:r>
      <w:r w:rsidRPr="008C7B3D">
        <w:rPr>
          <w:lang w:val="nl-BE"/>
        </w:rPr>
        <w:t xml:space="preserve">EUR </w:t>
      </w:r>
      <w:r w:rsidR="008D0170" w:rsidRPr="008C7B3D">
        <w:rPr>
          <w:lang w:val="nl-BE"/>
        </w:rPr>
        <w:t>in toebehoren kunnen worden gebruikt. Partijen verzoeken dan ook om de toepassing van artikel 921 Wetboek Registratierechten</w:t>
      </w:r>
      <w:r w:rsidRPr="008C7B3D">
        <w:rPr>
          <w:lang w:val="nl-BE"/>
        </w:rPr>
        <w:t>.</w:t>
      </w:r>
    </w:p>
    <w:p w14:paraId="779C1216" w14:textId="77777777" w:rsidR="007141A3" w:rsidRPr="008C7B3D" w:rsidRDefault="007141A3">
      <w:pPr>
        <w:jc w:val="both"/>
        <w:rPr>
          <w:lang w:val="nl-BE"/>
        </w:rPr>
      </w:pPr>
    </w:p>
    <w:bookmarkEnd w:id="1"/>
    <w:p w14:paraId="396EDDD7" w14:textId="77777777" w:rsidR="007141A3" w:rsidRDefault="007141A3">
      <w:pPr>
        <w:jc w:val="both"/>
        <w:rPr>
          <w:lang w:val="nl-BE"/>
        </w:rPr>
      </w:pPr>
      <w:r w:rsidRPr="008C7B3D">
        <w:rPr>
          <w:b/>
          <w:u w:val="single"/>
          <w:lang w:val="nl-BE"/>
        </w:rPr>
        <w:t>ARTIKEL 4</w:t>
      </w:r>
      <w:r w:rsidRPr="008C7B3D">
        <w:rPr>
          <w:lang w:val="nl-BE"/>
        </w:rPr>
        <w:t xml:space="preserve"> - De kredietnemers (en/of de tussenkomende derden) bevestigen dat de ten onderpand gestelde goederen niet belast zijn met </w:t>
      </w:r>
      <w:proofErr w:type="spellStart"/>
      <w:r w:rsidRPr="008C7B3D">
        <w:rPr>
          <w:lang w:val="nl-BE"/>
        </w:rPr>
        <w:t>welkdanig</w:t>
      </w:r>
      <w:proofErr w:type="spellEnd"/>
      <w:r w:rsidRPr="008C7B3D">
        <w:rPr>
          <w:lang w:val="nl-BE"/>
        </w:rPr>
        <w:t xml:space="preserve"> recht van weerhouding ten voordele van een schuldeiser op genotspand en dat ze onbelast, zuiver en vrij zijn van welke hypotheken, voorrechten, inbeslagnemingen, inschrijvingen of welke lasten ook (</w:t>
      </w:r>
      <w:r w:rsidR="00925D7E" w:rsidRPr="00D4561D">
        <w:rPr>
          <w:lang w:val="nl-BE"/>
        </w:rPr>
        <w:t xml:space="preserve">« * » </w:t>
      </w:r>
      <w:r w:rsidRPr="008C7B3D">
        <w:rPr>
          <w:b/>
          <w:u w:val="single"/>
          <w:lang w:val="nl-BE"/>
        </w:rPr>
        <w:t>desgevallend</w:t>
      </w:r>
      <w:r w:rsidRPr="008C7B3D">
        <w:rPr>
          <w:b/>
          <w:lang w:val="nl-BE"/>
        </w:rPr>
        <w:t xml:space="preserve"> "</w:t>
      </w:r>
      <w:r w:rsidRPr="008C7B3D">
        <w:rPr>
          <w:lang w:val="nl-BE"/>
        </w:rPr>
        <w:t xml:space="preserve">met uitzondering van                    " ). Ze staan er voor in dat, binnen de veertien dagen te rekenen vanaf heden de te nemen </w:t>
      </w:r>
      <w:r w:rsidR="00925D7E">
        <w:rPr>
          <w:lang w:val="nl-BE"/>
        </w:rPr>
        <w:t xml:space="preserve">hypothecaire </w:t>
      </w:r>
      <w:r w:rsidRPr="008C7B3D">
        <w:rPr>
          <w:lang w:val="nl-BE"/>
        </w:rPr>
        <w:t>inschrijving, ten voordele van de Bank zal verschijnen in</w:t>
      </w:r>
      <w:r w:rsidR="00925D7E">
        <w:rPr>
          <w:lang w:val="nl-BE"/>
        </w:rPr>
        <w:t xml:space="preserve"> </w:t>
      </w:r>
      <w:r w:rsidR="00925D7E" w:rsidRPr="00D4561D">
        <w:rPr>
          <w:lang w:val="nl-BE"/>
        </w:rPr>
        <w:t xml:space="preserve">« * » </w:t>
      </w:r>
      <w:r w:rsidRPr="008C7B3D">
        <w:rPr>
          <w:lang w:val="nl-BE"/>
        </w:rPr>
        <w:t xml:space="preserve">rang ten Kantore der Hypotheken. Tot staving van deze verklaring, verbinden de kredietnemers zich, binnen de maand der onderhavige akte, de overeenkomstige bewijsstukken af te leveren aan de Bank. </w:t>
      </w:r>
    </w:p>
    <w:p w14:paraId="6D4140B8" w14:textId="77777777" w:rsidR="008C7B3D" w:rsidRPr="008C7B3D" w:rsidRDefault="008C7B3D">
      <w:pPr>
        <w:jc w:val="both"/>
        <w:rPr>
          <w:lang w:val="nl-BE"/>
        </w:rPr>
      </w:pPr>
    </w:p>
    <w:p w14:paraId="7B5CB4D9" w14:textId="77777777" w:rsidR="007141A3" w:rsidRPr="008C7B3D" w:rsidRDefault="007141A3">
      <w:pPr>
        <w:jc w:val="both"/>
        <w:rPr>
          <w:lang w:val="nl-BE"/>
        </w:rPr>
      </w:pPr>
      <w:r w:rsidRPr="008C7B3D">
        <w:rPr>
          <w:b/>
          <w:u w:val="single"/>
          <w:lang w:val="nl-BE"/>
        </w:rPr>
        <w:t>ARTIKEL 5</w:t>
      </w:r>
      <w:r w:rsidRPr="008C7B3D">
        <w:rPr>
          <w:lang w:val="nl-BE"/>
        </w:rPr>
        <w:t xml:space="preserve"> – Met het oog op de uitvoering van hun verplichtingen staan de kredietnemers af aan de Bank, die aanvaardt, het voor beslag of voor overdracht vatbaar gedeelte van alle lonen, wedden en gelijkgestelde inkomsten voorzien in de artikels 1409 en 1410 van het Gerechtelijk Wetboek, alsmede alle vergoedingen die hun, uit welke hoofde ook, kunnen toekomen, alsook de huurpenningen van hun onroerende goederen; te dien einde zullen zij op het eerste verzoek van de Bank alle nodige aanduidingen verstrekken nopens hun werkgevers en de bewoners van de onroerende goederen, alsmede over het bedrag van de afgestane sommen. Deze afstand zal echter slechts zijn uitwerking hebben indien de kredietnemers in gebreke blijven de </w:t>
      </w:r>
      <w:proofErr w:type="spellStart"/>
      <w:r w:rsidRPr="008C7B3D">
        <w:rPr>
          <w:lang w:val="nl-BE"/>
        </w:rPr>
        <w:t>eisbaar</w:t>
      </w:r>
      <w:proofErr w:type="spellEnd"/>
      <w:r w:rsidRPr="008C7B3D">
        <w:rPr>
          <w:lang w:val="nl-BE"/>
        </w:rPr>
        <w:t xml:space="preserve"> geworden bedragen te betalen in uitvoering van de verbintenissen gedekt door onderhavig krediet. Vanaf dat ogenblik en zonder voorafgaande ingebrekestelling van de kredietnemers, mag de Bank op kosten van de kredietnemers de afstand doen betekenen aan de personen aan wie het behoort. Na deze notificatie zal de Bank, met uitsluiting van alle andere, het recht hebben tegen kwijtschrift de afgestane sommen te ontvangen, die zullen aangewend worden tot vereffening van de schuld van de kredietnemers, dit alles zonder afbreuk te doen aan de toepassing van artikel 11.3.A. van het Algemeen Reglement van de Kredietopeningen (editie 02/02), waarvan sprake hierboven. </w:t>
      </w:r>
    </w:p>
    <w:p w14:paraId="2E92D927" w14:textId="77777777" w:rsidR="007141A3" w:rsidRDefault="007141A3">
      <w:pPr>
        <w:jc w:val="both"/>
        <w:rPr>
          <w:rFonts w:ascii="Helv" w:hAnsi="Helv"/>
          <w:snapToGrid w:val="0"/>
          <w:color w:val="000000"/>
          <w:lang w:val="nl-BE" w:eastAsia="en-US"/>
        </w:rPr>
      </w:pPr>
      <w:r w:rsidRPr="008C7B3D">
        <w:rPr>
          <w:rFonts w:ascii="Helv" w:hAnsi="Helv"/>
          <w:snapToGrid w:val="0"/>
          <w:color w:val="000000"/>
          <w:lang w:val="nl-BE" w:eastAsia="en-US"/>
        </w:rPr>
        <w:t xml:space="preserve">In het kader van de huidige overdracht verklaren de </w:t>
      </w:r>
      <w:proofErr w:type="spellStart"/>
      <w:r w:rsidRPr="008C7B3D">
        <w:rPr>
          <w:rFonts w:ascii="Helv" w:hAnsi="Helv"/>
          <w:snapToGrid w:val="0"/>
          <w:color w:val="000000"/>
          <w:lang w:val="nl-BE" w:eastAsia="en-US"/>
        </w:rPr>
        <w:t>overlaters</w:t>
      </w:r>
      <w:proofErr w:type="spellEnd"/>
      <w:r w:rsidRPr="008C7B3D">
        <w:rPr>
          <w:rFonts w:ascii="Helv" w:hAnsi="Helv"/>
          <w:snapToGrid w:val="0"/>
          <w:color w:val="000000"/>
          <w:lang w:val="nl-BE" w:eastAsia="en-US"/>
        </w:rPr>
        <w:t xml:space="preserve"> geïnformeerd te zijn geweest door de ondergetekende Notaris over het mechanisme van de verhoging van de beschermde inkomsten wanneer één of meerdere kinderen ten laste zijn en bevestigen van deze Notaris het formulier voor de verklaring van de kinderen ten laste  ontvangen te hebben.</w:t>
      </w:r>
    </w:p>
    <w:p w14:paraId="52A16B6F" w14:textId="77777777" w:rsidR="008C7B3D" w:rsidRPr="008C7B3D" w:rsidRDefault="008C7B3D">
      <w:pPr>
        <w:jc w:val="both"/>
        <w:rPr>
          <w:lang w:val="nl-BE"/>
        </w:rPr>
      </w:pPr>
    </w:p>
    <w:p w14:paraId="15A358FE" w14:textId="77777777" w:rsidR="007141A3" w:rsidRPr="008C7B3D" w:rsidRDefault="007141A3">
      <w:pPr>
        <w:jc w:val="both"/>
        <w:rPr>
          <w:lang w:val="nl-BE"/>
        </w:rPr>
      </w:pPr>
      <w:r w:rsidRPr="008C7B3D">
        <w:rPr>
          <w:b/>
          <w:u w:val="single"/>
          <w:lang w:val="nl-BE"/>
        </w:rPr>
        <w:lastRenderedPageBreak/>
        <w:t>ARTIKEL 6</w:t>
      </w:r>
      <w:r w:rsidRPr="008C7B3D">
        <w:rPr>
          <w:b/>
          <w:lang w:val="nl-BE"/>
        </w:rPr>
        <w:t xml:space="preserve"> </w:t>
      </w:r>
      <w:r w:rsidRPr="008C7B3D">
        <w:rPr>
          <w:lang w:val="nl-BE"/>
        </w:rPr>
        <w:t>– Mochten de verbintenissen, door de kredietnemers aangegaan, niet worden in acht genomen, dan zal de Bank de gehypothekeerde goederen mogen verkopen op uitvoerend beslag op onroerend goed, overeenkomstig de artikelen 1560 en volgende van het Gerechtelijk Wetboek. De Bank zal eveneens het recht hebben de uitwinning van de andere onroerende goederen, toebehorend aan de kredietnemers, vooraf of gelijktijdig te vervolgen zonder de ontoereikendheid van de hypotheek te moeten bewijzen; te dien einde verklaren de partijen uitdrukkelijk te willen afwijken van artikel 1563 van het Gerechtelijk Wetboek. Bovendien wordt aan de Bank machtiging verleend om gebeurlijk over te gaan tot de verkaveling van de onroerende goederen en om het nodige te doen teneinde de toelating tot verkaveling te bekomen.</w:t>
      </w:r>
    </w:p>
    <w:p w14:paraId="3699CFAE" w14:textId="77777777" w:rsidR="007141A3" w:rsidRPr="008C7B3D" w:rsidRDefault="007141A3">
      <w:pPr>
        <w:rPr>
          <w:b/>
          <w:u w:val="single"/>
          <w:lang w:val="nl-BE"/>
        </w:rPr>
      </w:pPr>
    </w:p>
    <w:p w14:paraId="45C12405" w14:textId="77777777" w:rsidR="007141A3" w:rsidRPr="008C7B3D" w:rsidRDefault="008C7B3D">
      <w:pPr>
        <w:rPr>
          <w:b/>
          <w:lang w:val="nl-BE"/>
        </w:rPr>
      </w:pPr>
      <w:bookmarkStart w:id="2" w:name="pordre1"/>
      <w:r w:rsidRPr="00D4561D">
        <w:rPr>
          <w:lang w:val="nl-BE"/>
        </w:rPr>
        <w:t xml:space="preserve">“*” </w:t>
      </w:r>
      <w:r w:rsidR="007141A3" w:rsidRPr="008C7B3D">
        <w:rPr>
          <w:b/>
          <w:lang w:val="nl-BE"/>
        </w:rPr>
        <w:t>Verklaring voor orde</w:t>
      </w:r>
    </w:p>
    <w:p w14:paraId="1D8FBD8B" w14:textId="77777777" w:rsidR="007141A3" w:rsidRPr="008C7B3D" w:rsidRDefault="007141A3">
      <w:pPr>
        <w:jc w:val="both"/>
        <w:rPr>
          <w:lang w:val="nl-BE"/>
        </w:rPr>
      </w:pPr>
      <w:r w:rsidRPr="008C7B3D">
        <w:rPr>
          <w:lang w:val="nl-BE"/>
        </w:rPr>
        <w:t xml:space="preserve">De kredietnemers verklaren dat de onderhavige verbintenis werd aangegaan voor de behoeften van </w:t>
      </w:r>
      <w:r w:rsidR="008C7B3D" w:rsidRPr="00D4561D">
        <w:rPr>
          <w:lang w:val="nl-BE"/>
        </w:rPr>
        <w:t>“*”</w:t>
      </w:r>
      <w:r w:rsidRPr="008C7B3D">
        <w:rPr>
          <w:lang w:val="nl-BE"/>
        </w:rPr>
        <w:t xml:space="preserve"> die alleen over het bedrag van het krediet zal/zullen mogen beschikken.</w:t>
      </w:r>
    </w:p>
    <w:p w14:paraId="2E673C4A" w14:textId="77777777" w:rsidR="007141A3" w:rsidRPr="008C7B3D" w:rsidRDefault="007141A3">
      <w:pPr>
        <w:jc w:val="both"/>
        <w:rPr>
          <w:lang w:val="nl-BE"/>
        </w:rPr>
      </w:pPr>
      <w:r w:rsidRPr="008C7B3D">
        <w:rPr>
          <w:lang w:val="nl-BE"/>
        </w:rPr>
        <w:t xml:space="preserve">Derhalve zal/zullen, </w:t>
      </w:r>
      <w:r w:rsidR="008C7B3D" w:rsidRPr="00D4561D">
        <w:rPr>
          <w:lang w:val="nl-BE"/>
        </w:rPr>
        <w:t>“*”</w:t>
      </w:r>
      <w:r w:rsidRPr="008C7B3D">
        <w:rPr>
          <w:lang w:val="nl-BE"/>
        </w:rPr>
        <w:t xml:space="preserve"> alleen dienen beschouwd te worden als borgsteller(s) tegenover </w:t>
      </w:r>
      <w:r w:rsidR="008C7B3D" w:rsidRPr="00D4561D">
        <w:rPr>
          <w:lang w:val="nl-BE"/>
        </w:rPr>
        <w:t>“*”</w:t>
      </w:r>
      <w:r w:rsidRPr="008C7B3D">
        <w:rPr>
          <w:lang w:val="nl-BE"/>
        </w:rPr>
        <w:t xml:space="preserve"> en deze laatste(n) zal/zullen alleen dienen te zorgen voor de terugbetaling van de schulden gedekt door de onderhavige overeenkomst. </w:t>
      </w:r>
    </w:p>
    <w:p w14:paraId="49809E9A" w14:textId="77777777" w:rsidR="007141A3" w:rsidRPr="008C7B3D" w:rsidRDefault="007141A3">
      <w:pPr>
        <w:jc w:val="both"/>
        <w:rPr>
          <w:lang w:val="nl-BE"/>
        </w:rPr>
      </w:pPr>
      <w:r w:rsidRPr="008C7B3D">
        <w:rPr>
          <w:lang w:val="nl-BE"/>
        </w:rPr>
        <w:t xml:space="preserve">Doch daar deze verklaring en deze overeenkomst slechts private schikkingen zijn tussen de kredietnemers, zullen ze hoegenaamd niet kunnen ingeroepen worden tegen de Bank tegenover dewelke alle kredietnemers zullen gehouden zijn als solidaire schuldenaars zonder voorrecht van uitwinning of schuldsplitsing. </w:t>
      </w:r>
    </w:p>
    <w:p w14:paraId="66514ADE" w14:textId="77777777" w:rsidR="007141A3" w:rsidRPr="008C7B3D" w:rsidRDefault="007141A3">
      <w:pPr>
        <w:jc w:val="both"/>
        <w:rPr>
          <w:b/>
          <w:u w:val="single"/>
          <w:lang w:val="nl-BE"/>
        </w:rPr>
      </w:pPr>
    </w:p>
    <w:bookmarkEnd w:id="2"/>
    <w:p w14:paraId="57B20714" w14:textId="77777777" w:rsidR="007141A3" w:rsidRPr="008C7B3D" w:rsidRDefault="007141A3">
      <w:pPr>
        <w:jc w:val="both"/>
        <w:rPr>
          <w:lang w:val="nl-BE"/>
        </w:rPr>
      </w:pPr>
      <w:r w:rsidRPr="008C7B3D">
        <w:rPr>
          <w:b/>
          <w:u w:val="single"/>
          <w:lang w:val="nl-BE"/>
        </w:rPr>
        <w:t>ARTIKEL 7</w:t>
      </w:r>
      <w:r w:rsidRPr="008C7B3D">
        <w:rPr>
          <w:b/>
          <w:lang w:val="nl-BE"/>
        </w:rPr>
        <w:t xml:space="preserve"> – </w:t>
      </w:r>
      <w:r w:rsidRPr="008C7B3D">
        <w:rPr>
          <w:lang w:val="nl-BE"/>
        </w:rPr>
        <w:t xml:space="preserve">Daarenboven verbinden de kredietnemers en/of medeschuldenaars, verenigd in vennootschapsvorm, zich ertoe elke benoeming van het leidinggevend personeel vooraf ter goedkeuring aan de Bank voor te leggen. </w:t>
      </w:r>
    </w:p>
    <w:p w14:paraId="63C681B3" w14:textId="77777777" w:rsidR="007141A3" w:rsidRPr="008C7B3D" w:rsidRDefault="007141A3">
      <w:pPr>
        <w:jc w:val="both"/>
        <w:rPr>
          <w:lang w:val="nl-BE"/>
        </w:rPr>
      </w:pPr>
    </w:p>
    <w:p w14:paraId="516A9E65" w14:textId="77777777" w:rsidR="007141A3" w:rsidRPr="008C7B3D" w:rsidRDefault="007141A3">
      <w:pPr>
        <w:pStyle w:val="Heading4"/>
        <w:spacing w:before="0" w:line="240" w:lineRule="auto"/>
        <w:ind w:right="0"/>
        <w:jc w:val="left"/>
        <w:rPr>
          <w:u w:val="none"/>
          <w:lang w:val="nl-BE"/>
        </w:rPr>
      </w:pPr>
      <w:r w:rsidRPr="008C7B3D">
        <w:rPr>
          <w:u w:val="none"/>
          <w:lang w:val="nl-BE"/>
        </w:rPr>
        <w:t>Verklaring betreffende de belasting over de toegevoegde waarde</w:t>
      </w:r>
    </w:p>
    <w:p w14:paraId="024B77E4" w14:textId="77777777" w:rsidR="007141A3" w:rsidRDefault="00D8020E">
      <w:pPr>
        <w:jc w:val="both"/>
        <w:rPr>
          <w:lang w:val="nl-BE"/>
        </w:rPr>
      </w:pPr>
      <w:r w:rsidRPr="00D8020E">
        <w:rPr>
          <w:lang w:val="nl-BE"/>
        </w:rPr>
        <w:t>Partijen erkennen dat wij, notaris, lezing en uitleg hebben gegeven van artikel 73 van het Wetboek van de Belasting over de Toegevoegde Waarde aan de kredietnemers en derden-hypotheekstellers die in deze akte verschijnen.</w:t>
      </w:r>
    </w:p>
    <w:p w14:paraId="24430839" w14:textId="77777777" w:rsidR="008C7B3D" w:rsidRPr="008C7B3D" w:rsidRDefault="008C7B3D">
      <w:pPr>
        <w:jc w:val="both"/>
        <w:rPr>
          <w:lang w:val="nl-BE"/>
        </w:rPr>
      </w:pPr>
    </w:p>
    <w:p w14:paraId="3A9F347F" w14:textId="77777777" w:rsidR="007141A3" w:rsidRPr="008C7B3D" w:rsidRDefault="007141A3">
      <w:pPr>
        <w:pStyle w:val="Heading3"/>
        <w:spacing w:before="0" w:line="240" w:lineRule="auto"/>
        <w:ind w:right="0"/>
        <w:jc w:val="both"/>
        <w:rPr>
          <w:lang w:val="nl-BE"/>
        </w:rPr>
      </w:pPr>
      <w:r w:rsidRPr="008C7B3D">
        <w:rPr>
          <w:lang w:val="nl-BE"/>
        </w:rPr>
        <w:t xml:space="preserve">ARTIKEL 8 – KEUZE VAN WOONST </w:t>
      </w:r>
    </w:p>
    <w:p w14:paraId="08ADC90D" w14:textId="77777777" w:rsidR="007141A3" w:rsidRPr="008C7B3D" w:rsidRDefault="007141A3">
      <w:pPr>
        <w:jc w:val="both"/>
        <w:rPr>
          <w:lang w:val="nl-BE"/>
        </w:rPr>
      </w:pPr>
      <w:r w:rsidRPr="008C7B3D">
        <w:rPr>
          <w:lang w:val="nl-BE"/>
        </w:rPr>
        <w:t xml:space="preserve">Voor het uitvoeren dezer wordt er keuze van woonst gedaan door : </w:t>
      </w:r>
    </w:p>
    <w:p w14:paraId="0E06B431" w14:textId="77777777" w:rsidR="007141A3" w:rsidRPr="00D4561D" w:rsidRDefault="007141A3">
      <w:pPr>
        <w:numPr>
          <w:ilvl w:val="0"/>
          <w:numId w:val="19"/>
        </w:numPr>
        <w:jc w:val="both"/>
        <w:rPr>
          <w:lang w:val="nl-BE"/>
        </w:rPr>
      </w:pPr>
      <w:r w:rsidRPr="008C7B3D">
        <w:rPr>
          <w:lang w:val="nl-BE"/>
        </w:rPr>
        <w:t>de Bank in haar Maatschappelijke Zetel</w:t>
      </w:r>
      <w:r w:rsidRPr="00D4561D">
        <w:rPr>
          <w:lang w:val="nl-BE"/>
        </w:rPr>
        <w:t>;</w:t>
      </w:r>
    </w:p>
    <w:p w14:paraId="323B85AE" w14:textId="77777777" w:rsidR="007141A3" w:rsidRPr="008C7B3D" w:rsidRDefault="007141A3">
      <w:pPr>
        <w:numPr>
          <w:ilvl w:val="0"/>
          <w:numId w:val="19"/>
        </w:numPr>
        <w:jc w:val="both"/>
        <w:rPr>
          <w:lang w:val="nl-BE"/>
        </w:rPr>
      </w:pPr>
      <w:r w:rsidRPr="008C7B3D">
        <w:rPr>
          <w:lang w:val="nl-BE"/>
        </w:rPr>
        <w:t>de kredietnemers (en de tussenkomende derden) in de studie van de ondergetekende Notaris, met dien verstande dat het de Bank vrij blijft slechts rekening te houden met hun werkelijke woonplaats.</w:t>
      </w:r>
    </w:p>
    <w:p w14:paraId="308441CC" w14:textId="77777777" w:rsidR="007141A3" w:rsidRPr="008C7B3D" w:rsidRDefault="007141A3">
      <w:pPr>
        <w:jc w:val="both"/>
        <w:rPr>
          <w:lang w:val="nl-BE"/>
        </w:rPr>
      </w:pPr>
      <w:r w:rsidRPr="008C7B3D">
        <w:rPr>
          <w:lang w:val="nl-BE"/>
        </w:rPr>
        <w:t>Nochtans zullen alle betwistingen, betrekkelijk deze verbintenissen of hun gevolgen, alleen beslecht worden door de bevoegde rechtbanken in wier rechtsgebied de Bank ge</w:t>
      </w:r>
      <w:r w:rsidR="008C7B3D">
        <w:rPr>
          <w:lang w:val="nl-BE"/>
        </w:rPr>
        <w:t>domicilieerd is.</w:t>
      </w:r>
    </w:p>
    <w:p w14:paraId="5CDD03ED" w14:textId="77777777" w:rsidR="007141A3" w:rsidRPr="008C7B3D" w:rsidRDefault="007141A3">
      <w:pPr>
        <w:rPr>
          <w:lang w:val="nl-BE"/>
        </w:rPr>
      </w:pPr>
    </w:p>
    <w:p w14:paraId="25EC8C9E" w14:textId="77777777" w:rsidR="007141A3" w:rsidRPr="008C7B3D" w:rsidRDefault="007141A3">
      <w:pPr>
        <w:pStyle w:val="Heading6"/>
        <w:spacing w:line="240" w:lineRule="auto"/>
        <w:ind w:right="0"/>
        <w:jc w:val="both"/>
        <w:rPr>
          <w:u w:val="none"/>
          <w:lang w:val="nl-BE"/>
        </w:rPr>
      </w:pPr>
      <w:r w:rsidRPr="008C7B3D">
        <w:rPr>
          <w:u w:val="none"/>
          <w:lang w:val="nl-BE"/>
        </w:rPr>
        <w:t>KOSTEN EN ERELONEN</w:t>
      </w:r>
    </w:p>
    <w:p w14:paraId="7EDB43FD" w14:textId="77777777" w:rsidR="007141A3" w:rsidRPr="008C7B3D" w:rsidRDefault="007141A3">
      <w:pPr>
        <w:jc w:val="both"/>
        <w:rPr>
          <w:lang w:val="nl-BE"/>
        </w:rPr>
      </w:pPr>
      <w:r w:rsidRPr="008C7B3D">
        <w:rPr>
          <w:lang w:val="nl-BE"/>
        </w:rPr>
        <w:t>In toepassing van artikel 16 van het Algemeen Reglement van de Kredietopeningen (editie 02/02), zijn alle kosten en erelonen van onderhavige akte ten laste van de kredietnemers.</w:t>
      </w:r>
    </w:p>
    <w:p w14:paraId="3CCC42C3" w14:textId="77777777" w:rsidR="007141A3" w:rsidRPr="008C7B3D" w:rsidRDefault="007141A3">
      <w:pPr>
        <w:jc w:val="both"/>
        <w:rPr>
          <w:lang w:val="nl-BE"/>
        </w:rPr>
      </w:pPr>
    </w:p>
    <w:p w14:paraId="032A0471" w14:textId="77777777" w:rsidR="007141A3" w:rsidRPr="00D4561D" w:rsidRDefault="008C7B3D">
      <w:pPr>
        <w:pBdr>
          <w:top w:val="single" w:sz="4" w:space="1" w:color="auto"/>
          <w:bottom w:val="single" w:sz="4" w:space="1" w:color="auto"/>
        </w:pBdr>
        <w:rPr>
          <w:i/>
          <w:lang w:val="nl-BE"/>
        </w:rPr>
      </w:pPr>
      <w:r w:rsidRPr="00D4561D">
        <w:rPr>
          <w:lang w:val="nl-BE"/>
        </w:rPr>
        <w:t>“*”</w:t>
      </w:r>
      <w:r w:rsidRPr="008C7B3D">
        <w:rPr>
          <w:i/>
          <w:u w:val="single"/>
          <w:lang w:val="nl-BE"/>
        </w:rPr>
        <w:t xml:space="preserve"> </w:t>
      </w:r>
      <w:r>
        <w:rPr>
          <w:i/>
          <w:u w:val="single"/>
          <w:lang w:val="nl-BE"/>
        </w:rPr>
        <w:t xml:space="preserve"> </w:t>
      </w:r>
      <w:r w:rsidR="007141A3" w:rsidRPr="008C7B3D">
        <w:rPr>
          <w:i/>
          <w:u w:val="single"/>
          <w:lang w:val="nl-BE"/>
        </w:rPr>
        <w:t>(Indien de kredietaanvraag ontvankelijk is voor tussenkomst van het Landbouwinvesteringsfonds dient bijgaande verklaring ingelast te worden).</w:t>
      </w:r>
      <w:r>
        <w:rPr>
          <w:i/>
          <w:lang w:val="nl-BE"/>
        </w:rPr>
        <w:t xml:space="preserve"> </w:t>
      </w:r>
    </w:p>
    <w:p w14:paraId="7DF90F1B" w14:textId="77777777" w:rsidR="007141A3" w:rsidRPr="008C7B3D" w:rsidRDefault="007141A3">
      <w:pPr>
        <w:jc w:val="both"/>
      </w:pPr>
      <w:bookmarkStart w:id="3" w:name="fia1"/>
      <w:r w:rsidRPr="008C7B3D">
        <w:t xml:space="preserve">De </w:t>
      </w:r>
      <w:proofErr w:type="spellStart"/>
      <w:r w:rsidRPr="008C7B3D">
        <w:t>kredietnemers</w:t>
      </w:r>
      <w:proofErr w:type="spellEnd"/>
      <w:r w:rsidRPr="008C7B3D">
        <w:t xml:space="preserve"> : </w:t>
      </w:r>
    </w:p>
    <w:p w14:paraId="56C57785" w14:textId="77777777" w:rsidR="007141A3" w:rsidRPr="008C7B3D" w:rsidRDefault="007141A3">
      <w:pPr>
        <w:numPr>
          <w:ilvl w:val="0"/>
          <w:numId w:val="20"/>
        </w:numPr>
        <w:jc w:val="both"/>
        <w:rPr>
          <w:lang w:val="nl-BE"/>
        </w:rPr>
      </w:pPr>
      <w:r w:rsidRPr="008C7B3D">
        <w:rPr>
          <w:lang w:val="nl-BE"/>
        </w:rPr>
        <w:t>gaan ermede akkoord dat de documentatie, nodig voor het onderzoek van hun aanvraag om tussenkomst van het Landbouwinvesteringsfonds, zou worden meegedeeld aan het Ministerie van Landbouw en dat gezegd Ministerie gebeurlijk zou overgaan tot onderzoeken en expertises welke noodzakelijk worden geacht, en dit op kosten van de ondergetekenden ;</w:t>
      </w:r>
    </w:p>
    <w:p w14:paraId="70870BB2" w14:textId="77777777" w:rsidR="007141A3" w:rsidRPr="008C7B3D" w:rsidRDefault="007141A3">
      <w:pPr>
        <w:numPr>
          <w:ilvl w:val="0"/>
          <w:numId w:val="20"/>
        </w:numPr>
        <w:jc w:val="both"/>
        <w:rPr>
          <w:lang w:val="nl-BE"/>
        </w:rPr>
      </w:pPr>
      <w:r w:rsidRPr="008C7B3D">
        <w:rPr>
          <w:lang w:val="nl-BE"/>
        </w:rPr>
        <w:t>bevestigen dat zij de Bank in kennis hebben gesteld van al de actieve en passieve elementen van hun patrimonium ;</w:t>
      </w:r>
    </w:p>
    <w:p w14:paraId="07D89877" w14:textId="77777777" w:rsidR="007141A3" w:rsidRPr="008C7B3D" w:rsidRDefault="007141A3">
      <w:pPr>
        <w:numPr>
          <w:ilvl w:val="0"/>
          <w:numId w:val="20"/>
        </w:numPr>
        <w:jc w:val="both"/>
        <w:rPr>
          <w:lang w:val="nl-BE"/>
        </w:rPr>
      </w:pPr>
      <w:r w:rsidRPr="008C7B3D">
        <w:rPr>
          <w:lang w:val="nl-BE"/>
        </w:rPr>
        <w:t>verklaren dat zij elders geen kredietaanvraag voor hetzelfde doel hebben ingediend of zullen indienen,</w:t>
      </w:r>
    </w:p>
    <w:p w14:paraId="1B5DB6D1" w14:textId="77777777" w:rsidR="007141A3" w:rsidRPr="008C7B3D" w:rsidRDefault="007141A3">
      <w:pPr>
        <w:numPr>
          <w:ilvl w:val="0"/>
          <w:numId w:val="20"/>
        </w:numPr>
        <w:jc w:val="both"/>
        <w:rPr>
          <w:lang w:val="nl-BE"/>
        </w:rPr>
      </w:pPr>
      <w:r w:rsidRPr="008C7B3D">
        <w:rPr>
          <w:lang w:val="nl-BE"/>
        </w:rPr>
        <w:t xml:space="preserve">verplichten zich daarenboven ingeval de tussenkomst van het Landbouwinvesteringsfonds wordt toegestaan – en voor geheel de duur van het voorschot dat rentetoelage geniet – aan het Ministerie of aan de Bank alle inlichtingen of documenten van professionele of financiële aard te verstrekken, alle bezoeken en onderzoeken door de afgevaardigden van het Ministerie van Landbouw of van de Bank toe te laten, alle </w:t>
      </w:r>
      <w:proofErr w:type="spellStart"/>
      <w:r w:rsidRPr="008C7B3D">
        <w:rPr>
          <w:lang w:val="nl-BE"/>
        </w:rPr>
        <w:t>verwervingen</w:t>
      </w:r>
      <w:proofErr w:type="spellEnd"/>
      <w:r w:rsidRPr="008C7B3D">
        <w:rPr>
          <w:lang w:val="nl-BE"/>
        </w:rPr>
        <w:t xml:space="preserve"> van onroerende goederen te melden aan de Bank en hypotheek te verlenen op haar eerste verzoek ;</w:t>
      </w:r>
    </w:p>
    <w:p w14:paraId="753B427E" w14:textId="77777777" w:rsidR="007141A3" w:rsidRPr="008C7B3D" w:rsidRDefault="007141A3">
      <w:pPr>
        <w:numPr>
          <w:ilvl w:val="0"/>
          <w:numId w:val="20"/>
        </w:numPr>
        <w:jc w:val="both"/>
        <w:rPr>
          <w:lang w:val="nl-BE"/>
        </w:rPr>
      </w:pPr>
      <w:r w:rsidRPr="008C7B3D">
        <w:rPr>
          <w:lang w:val="nl-BE"/>
        </w:rPr>
        <w:t>verklaren, onverminderd de andere clausules van opzegging welke het contract inhoudt aan te nemen dat de Bank een eind zou stellen aan het krediet en de onmiddellijke terugbetaling zou eisen van de betaalde voorschotten ingeval van onjuiste of onvolledige verklaringen van de ondergetekenden, op welk ogenblik ook, en ingeval zij zich niet schikken naar de voorwaarden, verbonden aan het toestaan van het voorschot en van de tussenkomst van het Fonds, namelijk wanneer de gelden aangewend werden tot andere doeleinden dan deze voorzien. In deze gevallen en zo de onmiddellijke terugbetaling van het saldo niet geëist wordt, mag het Ministerie de rentetoelage van het Fonds geheel of gedeeltelijk afschaffen, evenzo in het geval waar er zou vastgesteld worden dat de voorwaarden om ervan te genieten niet vervuld waren ;</w:t>
      </w:r>
    </w:p>
    <w:p w14:paraId="7D72E26B" w14:textId="77777777" w:rsidR="007141A3" w:rsidRPr="008C7B3D" w:rsidRDefault="007141A3">
      <w:pPr>
        <w:numPr>
          <w:ilvl w:val="0"/>
          <w:numId w:val="20"/>
        </w:numPr>
        <w:jc w:val="both"/>
        <w:rPr>
          <w:lang w:val="nl-BE"/>
        </w:rPr>
      </w:pPr>
      <w:r w:rsidRPr="008C7B3D">
        <w:rPr>
          <w:lang w:val="nl-BE"/>
        </w:rPr>
        <w:t>verbinden zich ertoe de Bank kennis te geven van de verrichtingen van gedeeltelijke of gehele overdracht van een productiequotum en van de aanvragen om steun, ingediend bij de overheid voor de vrijwillige beperking van de productie van hun bedrijf ;</w:t>
      </w:r>
    </w:p>
    <w:p w14:paraId="3B650C72" w14:textId="77777777" w:rsidR="007141A3" w:rsidRPr="008C7B3D" w:rsidRDefault="007141A3">
      <w:pPr>
        <w:numPr>
          <w:ilvl w:val="0"/>
          <w:numId w:val="20"/>
        </w:numPr>
        <w:jc w:val="both"/>
        <w:rPr>
          <w:lang w:val="nl-BE"/>
        </w:rPr>
      </w:pPr>
      <w:r w:rsidRPr="008C7B3D">
        <w:rPr>
          <w:lang w:val="nl-BE"/>
        </w:rPr>
        <w:t xml:space="preserve">verklaren te aanvaarden dat, in de mate dat hun kredieten nog gewaarborgd zijn door het Landbouwinvesteringsfonds, welke bedragen ook, die zij zouden ontvangen ingevolge de beperking van de onder f) beschreven producties, in mindering komen van het saldo van deze kredieten, wanneer deze productiebeperkingen een daling van het niveau van de rentabiliteit voor gevolg hebben. </w:t>
      </w:r>
    </w:p>
    <w:p w14:paraId="2E9B48B5" w14:textId="77777777" w:rsidR="007141A3" w:rsidRPr="008C7B3D" w:rsidRDefault="007141A3">
      <w:pPr>
        <w:rPr>
          <w:lang w:val="nl-BE"/>
        </w:rPr>
      </w:pPr>
    </w:p>
    <w:bookmarkEnd w:id="3"/>
    <w:p w14:paraId="164112AF" w14:textId="77777777" w:rsidR="007141A3" w:rsidRPr="008C7B3D" w:rsidRDefault="007141A3">
      <w:pPr>
        <w:pStyle w:val="Heading2"/>
        <w:spacing w:before="0" w:line="240" w:lineRule="auto"/>
        <w:ind w:right="0"/>
        <w:rPr>
          <w:sz w:val="16"/>
          <w:lang w:val="nl-BE"/>
        </w:rPr>
      </w:pPr>
      <w:r w:rsidRPr="008C7B3D">
        <w:rPr>
          <w:sz w:val="16"/>
          <w:u w:val="none"/>
          <w:lang w:val="nl-BE"/>
        </w:rPr>
        <w:t xml:space="preserve">ATTEST BURGERLIJKE STAND </w:t>
      </w:r>
      <w:r w:rsidRPr="008C7B3D">
        <w:rPr>
          <w:b w:val="0"/>
          <w:sz w:val="16"/>
          <w:u w:val="none"/>
          <w:lang w:val="nl-BE"/>
        </w:rPr>
        <w:t>(voor de kredietnemers en tussenkomende derden - fysieke personen)</w:t>
      </w:r>
    </w:p>
    <w:p w14:paraId="59768FA0" w14:textId="77777777" w:rsidR="007141A3" w:rsidRPr="008C7B3D" w:rsidRDefault="007141A3">
      <w:pPr>
        <w:jc w:val="both"/>
        <w:rPr>
          <w:lang w:val="nl-BE"/>
        </w:rPr>
      </w:pPr>
      <w:r w:rsidRPr="008C7B3D">
        <w:rPr>
          <w:lang w:val="nl-BE"/>
        </w:rPr>
        <w:t>Teneinde te voldoen aan de bepalingen van de wet van 10 oktober 1913, artikel 12, bevestigt ondergetekende Notaris</w:t>
      </w:r>
      <w:r w:rsidR="008C7B3D">
        <w:rPr>
          <w:lang w:val="nl-BE"/>
        </w:rPr>
        <w:t xml:space="preserve"> </w:t>
      </w:r>
      <w:r w:rsidRPr="008C7B3D">
        <w:rPr>
          <w:lang w:val="nl-BE"/>
        </w:rPr>
        <w:t>de correcte schrijfwijze en de juistheid van de naam, voornamen, geboorteplaats en geboortedatum van de kredietnemers (en tussenkomende derden) zoals zij hierboven werden uitgedrukt.</w:t>
      </w:r>
    </w:p>
    <w:p w14:paraId="3470D4FA" w14:textId="77777777" w:rsidR="007141A3" w:rsidRPr="008C7B3D" w:rsidRDefault="007141A3">
      <w:pPr>
        <w:tabs>
          <w:tab w:val="left" w:pos="4820"/>
        </w:tabs>
        <w:jc w:val="both"/>
        <w:rPr>
          <w:b/>
          <w:u w:val="single"/>
          <w:lang w:val="nl-BE"/>
        </w:rPr>
      </w:pPr>
    </w:p>
    <w:p w14:paraId="67A74B37" w14:textId="77777777" w:rsidR="007141A3" w:rsidRPr="008C7B3D" w:rsidRDefault="007141A3">
      <w:pPr>
        <w:tabs>
          <w:tab w:val="left" w:pos="4820"/>
        </w:tabs>
        <w:jc w:val="both"/>
        <w:rPr>
          <w:lang w:val="nl-BE"/>
        </w:rPr>
      </w:pPr>
      <w:r w:rsidRPr="008C7B3D">
        <w:rPr>
          <w:b/>
          <w:lang w:val="nl-BE"/>
        </w:rPr>
        <w:t>WAARVAN AKTE</w:t>
      </w:r>
      <w:r w:rsidRPr="008C7B3D">
        <w:rPr>
          <w:lang w:val="nl-BE"/>
        </w:rPr>
        <w:t xml:space="preserve"> </w:t>
      </w:r>
    </w:p>
    <w:p w14:paraId="17FD795D" w14:textId="77777777" w:rsidR="007141A3" w:rsidRPr="008C7B3D" w:rsidRDefault="007141A3">
      <w:pPr>
        <w:jc w:val="both"/>
        <w:rPr>
          <w:lang w:val="nl-BE"/>
        </w:rPr>
      </w:pPr>
      <w:r w:rsidRPr="008C7B3D">
        <w:rPr>
          <w:lang w:val="nl-BE"/>
        </w:rPr>
        <w:t xml:space="preserve">Opgemaakt en verleden te </w:t>
      </w:r>
      <w:r w:rsidR="008C7B3D" w:rsidRPr="00D4561D">
        <w:rPr>
          <w:lang w:val="nl-BE"/>
        </w:rPr>
        <w:t>“*” “*”</w:t>
      </w:r>
    </w:p>
    <w:p w14:paraId="7225AC57" w14:textId="77777777" w:rsidR="007141A3" w:rsidRPr="008C7B3D" w:rsidRDefault="007141A3">
      <w:pPr>
        <w:ind w:right="57"/>
        <w:jc w:val="both"/>
        <w:rPr>
          <w:lang w:val="nl-BE"/>
        </w:rPr>
      </w:pPr>
    </w:p>
    <w:p w14:paraId="2A51715B" w14:textId="77777777" w:rsidR="007141A3" w:rsidRPr="008C7B3D" w:rsidRDefault="007141A3">
      <w:pPr>
        <w:numPr>
          <w:ilvl w:val="0"/>
          <w:numId w:val="21"/>
        </w:numPr>
        <w:jc w:val="both"/>
      </w:pPr>
      <w:r w:rsidRPr="008C7B3D">
        <w:rPr>
          <w:u w:val="single"/>
        </w:rPr>
        <w:lastRenderedPageBreak/>
        <w:t xml:space="preserve">In </w:t>
      </w:r>
      <w:proofErr w:type="spellStart"/>
      <w:r w:rsidRPr="008C7B3D">
        <w:rPr>
          <w:u w:val="single"/>
        </w:rPr>
        <w:t>geval</w:t>
      </w:r>
      <w:proofErr w:type="spellEnd"/>
      <w:r w:rsidRPr="008C7B3D">
        <w:rPr>
          <w:u w:val="single"/>
        </w:rPr>
        <w:t xml:space="preserve"> van </w:t>
      </w:r>
      <w:proofErr w:type="spellStart"/>
      <w:r w:rsidRPr="008C7B3D">
        <w:rPr>
          <w:u w:val="single"/>
        </w:rPr>
        <w:t>integrale</w:t>
      </w:r>
      <w:proofErr w:type="spellEnd"/>
      <w:r w:rsidRPr="008C7B3D">
        <w:rPr>
          <w:u w:val="single"/>
        </w:rPr>
        <w:t xml:space="preserve"> </w:t>
      </w:r>
      <w:proofErr w:type="spellStart"/>
      <w:r w:rsidRPr="008C7B3D">
        <w:rPr>
          <w:u w:val="single"/>
        </w:rPr>
        <w:t>voorlezing</w:t>
      </w:r>
      <w:proofErr w:type="spellEnd"/>
    </w:p>
    <w:p w14:paraId="11766B54" w14:textId="77777777" w:rsidR="007141A3" w:rsidRPr="008C7B3D" w:rsidRDefault="007141A3">
      <w:pPr>
        <w:pStyle w:val="BodyTextIndent2"/>
        <w:ind w:left="360"/>
        <w:rPr>
          <w:lang w:val="nl-BE"/>
        </w:rPr>
      </w:pPr>
      <w:r w:rsidRPr="008C7B3D">
        <w:rPr>
          <w:lang w:val="nl-BE"/>
        </w:rPr>
        <w:t>« Na integrale voorlezing en verduidelijking van de akte, van het Algemeen Reglement van de Kredietopeningen (editie 02/02) alsook van de brief met het aanbod van kredietopening en van de brief (brieven) met het aanbod betreffende het voorschot hierbij aangehecht, hebben de partijen ondertekend met Ons, Notaris. »</w:t>
      </w:r>
    </w:p>
    <w:p w14:paraId="070042FF" w14:textId="77777777" w:rsidR="007141A3" w:rsidRPr="008C7B3D" w:rsidRDefault="007141A3">
      <w:pPr>
        <w:numPr>
          <w:ilvl w:val="0"/>
          <w:numId w:val="21"/>
        </w:numPr>
        <w:jc w:val="both"/>
        <w:rPr>
          <w:lang w:val="nl-BE"/>
        </w:rPr>
      </w:pPr>
      <w:r w:rsidRPr="008C7B3D">
        <w:rPr>
          <w:u w:val="single"/>
          <w:lang w:val="nl-BE"/>
        </w:rPr>
        <w:t xml:space="preserve">In geval van gedeeltelijke voorlezing (met het versturen van het ontwerp, van het Algemeen Reglement van de Kredietopeningen (editie 02/02) ), alsook van de brief met het aanbod van kredietopening en van de brief (brieven) met het aanbod betreffende het voorschot, </w:t>
      </w:r>
      <w:r w:rsidRPr="008C7B3D">
        <w:rPr>
          <w:b/>
          <w:u w:val="single"/>
          <w:lang w:val="nl-BE"/>
        </w:rPr>
        <w:t>tenminste 5 werkdagen</w:t>
      </w:r>
      <w:r w:rsidRPr="008C7B3D">
        <w:rPr>
          <w:u w:val="single"/>
          <w:lang w:val="nl-BE"/>
        </w:rPr>
        <w:t xml:space="preserve"> vóór de ondertekening</w:t>
      </w:r>
    </w:p>
    <w:p w14:paraId="3016DD12" w14:textId="77777777" w:rsidR="007141A3" w:rsidRPr="008C7B3D" w:rsidRDefault="007141A3">
      <w:pPr>
        <w:pStyle w:val="BodyTextIndent3"/>
        <w:ind w:left="360"/>
        <w:rPr>
          <w:lang w:val="nl-BE"/>
        </w:rPr>
      </w:pPr>
      <w:r w:rsidRPr="008C7B3D">
        <w:rPr>
          <w:lang w:val="nl-BE"/>
        </w:rPr>
        <w:t>« De partijen verklaren Ons dat zij kennis genomen hebben van het ontwerp van onderhavige akte, van het Algemeen Reglement van de Kredietopeningen (editie 02/02), alsook van de kredietbrief en van de brief (brieven) met het aanbod betreffende het voorschot hierbij aangehecht, binnen de wettelijke termijn nl. tenminste 5 werkdagen vóór de ondertekening van deze brieven.</w:t>
      </w:r>
    </w:p>
    <w:p w14:paraId="782BCA5C" w14:textId="77777777" w:rsidR="007141A3" w:rsidRPr="008C7B3D" w:rsidRDefault="007141A3">
      <w:pPr>
        <w:pStyle w:val="BodyTextIndent3"/>
        <w:ind w:left="360"/>
        <w:rPr>
          <w:lang w:val="nl-BE"/>
        </w:rPr>
      </w:pPr>
      <w:r w:rsidRPr="008C7B3D">
        <w:rPr>
          <w:lang w:val="nl-BE"/>
        </w:rPr>
        <w:t>En na de voorlezing en verduidelijking, integraal wat betreft de gedeelten van de akte zoals voorzien in dit opzicht door de wet, en gedeeltelijk voor andere bepalingen, hebben de partijen ondertekend met Ons, Notaris. »</w:t>
      </w:r>
    </w:p>
    <w:p w14:paraId="42FF2EEC" w14:textId="77777777" w:rsidR="007141A3" w:rsidRPr="008C7B3D" w:rsidRDefault="007141A3">
      <w:pPr>
        <w:numPr>
          <w:ilvl w:val="0"/>
          <w:numId w:val="21"/>
        </w:numPr>
        <w:jc w:val="both"/>
        <w:rPr>
          <w:lang w:val="nl-BE"/>
        </w:rPr>
      </w:pPr>
      <w:r w:rsidRPr="008C7B3D">
        <w:rPr>
          <w:u w:val="single"/>
          <w:lang w:val="nl-BE"/>
        </w:rPr>
        <w:t xml:space="preserve">In geval van gedeeltelijke voorlezing (met het versturen van het ontwerp, het Algemeen Reglement van de Kredietopeningen (editie 02/02) ), alsook van de brief met het aanbod van kredietopening en van de brief (brieven) met het aanbod betreffende het voorschot, </w:t>
      </w:r>
      <w:r w:rsidRPr="008C7B3D">
        <w:rPr>
          <w:b/>
          <w:u w:val="single"/>
          <w:lang w:val="nl-BE"/>
        </w:rPr>
        <w:t>minder dan 5 werkdagen</w:t>
      </w:r>
      <w:r w:rsidRPr="008C7B3D">
        <w:rPr>
          <w:u w:val="single"/>
          <w:lang w:val="nl-BE"/>
        </w:rPr>
        <w:t xml:space="preserve"> vóór de ondertekening</w:t>
      </w:r>
    </w:p>
    <w:p w14:paraId="52B7E52E" w14:textId="77777777" w:rsidR="007141A3" w:rsidRPr="008C7B3D" w:rsidRDefault="007141A3">
      <w:pPr>
        <w:pStyle w:val="BodyTextIndent3"/>
        <w:ind w:left="360"/>
        <w:rPr>
          <w:lang w:val="nl-BE"/>
        </w:rPr>
      </w:pPr>
      <w:r w:rsidRPr="008C7B3D">
        <w:rPr>
          <w:lang w:val="nl-BE"/>
        </w:rPr>
        <w:t>« De partijen verklaren Ons dat zij kennis genomen hebben van het ontwerp van onderhavige akte, van het Algemeen Reglement van de Kredietopeningen (editie 02/02), alsook van de kredietbrief en van de brief (brieven) met het aanbod betreffende het voorschot hierbij aangehecht, op ………. en dat deze termijn voor hen volstond om deze in voldoende mate te onderzoeken.</w:t>
      </w:r>
    </w:p>
    <w:p w14:paraId="73E0008E" w14:textId="77777777" w:rsidR="007141A3" w:rsidRPr="008C7B3D" w:rsidRDefault="007141A3">
      <w:pPr>
        <w:pStyle w:val="BodyTextIndent3"/>
        <w:ind w:left="360"/>
        <w:rPr>
          <w:lang w:val="nl-BE"/>
        </w:rPr>
      </w:pPr>
      <w:r w:rsidRPr="008C7B3D">
        <w:rPr>
          <w:lang w:val="nl-BE"/>
        </w:rPr>
        <w:t>En na de voorlezing en verduidelijking, integraal wat betreft de gedeelten van de akte zoals voorzien in dit opzicht door de wet, en gedeeltelijk voor de andere bepalingen, hebben de partijen ondertekend met Ons, Notaris. »</w:t>
      </w:r>
    </w:p>
    <w:p w14:paraId="73824889" w14:textId="77777777" w:rsidR="007141A3" w:rsidRPr="008C7B3D" w:rsidRDefault="007141A3">
      <w:pPr>
        <w:pStyle w:val="BodyTextIndent3"/>
        <w:ind w:left="360"/>
        <w:rPr>
          <w:lang w:val="nl-BE"/>
        </w:rPr>
      </w:pPr>
    </w:p>
    <w:sectPr w:rsidR="007141A3" w:rsidRPr="008C7B3D">
      <w:headerReference w:type="even" r:id="rId9"/>
      <w:headerReference w:type="default" r:id="rId10"/>
      <w:footerReference w:type="even" r:id="rId11"/>
      <w:footerReference w:type="default" r:id="rId12"/>
      <w:headerReference w:type="first" r:id="rId13"/>
      <w:footerReference w:type="first" r:id="rId14"/>
      <w:pgSz w:w="11907" w:h="16840" w:code="9"/>
      <w:pgMar w:top="1411" w:right="1411" w:bottom="1699" w:left="1699" w:header="562" w:footer="504" w:gutter="0"/>
      <w:cols w:space="708"/>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887A5" w14:textId="77777777" w:rsidR="00B63499" w:rsidRDefault="00B63499">
      <w:r>
        <w:separator/>
      </w:r>
    </w:p>
  </w:endnote>
  <w:endnote w:type="continuationSeparator" w:id="0">
    <w:p w14:paraId="78DF2B57" w14:textId="77777777" w:rsidR="00B63499" w:rsidRDefault="00B6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A68" w14:textId="24DDD57E" w:rsidR="00D4561D" w:rsidRDefault="00D4561D">
    <w:pPr>
      <w:pStyle w:val="Footer"/>
    </w:pPr>
    <w:r>
      <w:rPr>
        <w:noProof/>
      </w:rPr>
      <mc:AlternateContent>
        <mc:Choice Requires="wps">
          <w:drawing>
            <wp:anchor distT="0" distB="0" distL="0" distR="0" simplePos="0" relativeHeight="251659264" behindDoc="0" locked="0" layoutInCell="1" allowOverlap="1" wp14:anchorId="6D540AB4" wp14:editId="42F3BB6F">
              <wp:simplePos x="635" y="635"/>
              <wp:positionH relativeFrom="page">
                <wp:align>center</wp:align>
              </wp:positionH>
              <wp:positionV relativeFrom="page">
                <wp:align>bottom</wp:align>
              </wp:positionV>
              <wp:extent cx="443865" cy="443865"/>
              <wp:effectExtent l="0" t="0" r="15875" b="0"/>
              <wp:wrapNone/>
              <wp:docPr id="2052999873" name="Text Box 2"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577214" w14:textId="11C02E94"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540AB4" id="_x0000_t202" coordsize="21600,21600" o:spt="202" path="m,l,21600r21600,l21600,xe">
              <v:stroke joinstyle="miter"/>
              <v:path gradientshapeok="t" o:connecttype="rect"/>
            </v:shapetype>
            <v:shape id="Text Box 2" o:spid="_x0000_s1026" type="#_x0000_t202" alt="Internal Information"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0C577214" w14:textId="11C02E94"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652C" w14:textId="59D51C00" w:rsidR="004778C9" w:rsidRDefault="00D4561D">
    <w:pPr>
      <w:pStyle w:val="Footer"/>
      <w:jc w:val="right"/>
    </w:pPr>
    <w:r>
      <w:rPr>
        <w:noProof/>
      </w:rPr>
      <mc:AlternateContent>
        <mc:Choice Requires="wps">
          <w:drawing>
            <wp:anchor distT="0" distB="0" distL="0" distR="0" simplePos="0" relativeHeight="251660288" behindDoc="0" locked="0" layoutInCell="1" allowOverlap="1" wp14:anchorId="5FA01DF7" wp14:editId="720EB8FF">
              <wp:simplePos x="1076325" y="10260965"/>
              <wp:positionH relativeFrom="page">
                <wp:align>center</wp:align>
              </wp:positionH>
              <wp:positionV relativeFrom="page">
                <wp:align>bottom</wp:align>
              </wp:positionV>
              <wp:extent cx="443865" cy="443865"/>
              <wp:effectExtent l="0" t="0" r="15875" b="0"/>
              <wp:wrapNone/>
              <wp:docPr id="446494193" name="Text Box 3"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0F3217" w14:textId="3901790B"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01DF7" id="_x0000_t202" coordsize="21600,21600" o:spt="202" path="m,l,21600r21600,l21600,xe">
              <v:stroke joinstyle="miter"/>
              <v:path gradientshapeok="t" o:connecttype="rect"/>
            </v:shapetype>
            <v:shape id="Text Box 3" o:spid="_x0000_s1027" type="#_x0000_t202" alt="Internal Information"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430F3217" w14:textId="3901790B"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v:textbox>
              <w10:wrap anchorx="page" anchory="page"/>
            </v:shape>
          </w:pict>
        </mc:Fallback>
      </mc:AlternateContent>
    </w:r>
    <w:r w:rsidR="004778C9">
      <w:rPr>
        <w:rStyle w:val="PageNumber"/>
      </w:rPr>
      <w:fldChar w:fldCharType="begin"/>
    </w:r>
    <w:r w:rsidR="004778C9">
      <w:rPr>
        <w:rStyle w:val="PageNumber"/>
      </w:rPr>
      <w:instrText xml:space="preserve"> PAGE </w:instrText>
    </w:r>
    <w:r w:rsidR="004778C9">
      <w:rPr>
        <w:rStyle w:val="PageNumber"/>
      </w:rPr>
      <w:fldChar w:fldCharType="separate"/>
    </w:r>
    <w:r w:rsidR="00D8020E">
      <w:rPr>
        <w:rStyle w:val="PageNumber"/>
        <w:noProof/>
      </w:rPr>
      <w:t>3</w:t>
    </w:r>
    <w:r w:rsidR="004778C9">
      <w:rPr>
        <w:rStyle w:val="PageNumber"/>
      </w:rPr>
      <w:fldChar w:fldCharType="end"/>
    </w:r>
    <w:r w:rsidR="004778C9">
      <w:rPr>
        <w:rStyle w:val="PageNumber"/>
      </w:rPr>
      <w:t>/</w:t>
    </w:r>
    <w:r w:rsidR="004778C9">
      <w:rPr>
        <w:rStyle w:val="PageNumber"/>
      </w:rPr>
      <w:fldChar w:fldCharType="begin"/>
    </w:r>
    <w:r w:rsidR="004778C9">
      <w:rPr>
        <w:rStyle w:val="PageNumber"/>
      </w:rPr>
      <w:instrText xml:space="preserve"> NUMPAGES </w:instrText>
    </w:r>
    <w:r w:rsidR="004778C9">
      <w:rPr>
        <w:rStyle w:val="PageNumber"/>
      </w:rPr>
      <w:fldChar w:fldCharType="separate"/>
    </w:r>
    <w:r w:rsidR="00D8020E">
      <w:rPr>
        <w:rStyle w:val="PageNumber"/>
        <w:noProof/>
      </w:rPr>
      <w:t>4</w:t>
    </w:r>
    <w:r w:rsidR="004778C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273DB" w14:textId="65C37C93" w:rsidR="004778C9" w:rsidRDefault="00D4561D">
    <w:pPr>
      <w:pStyle w:val="Footer"/>
      <w:jc w:val="right"/>
    </w:pPr>
    <w:r>
      <w:rPr>
        <w:noProof/>
      </w:rPr>
      <mc:AlternateContent>
        <mc:Choice Requires="wps">
          <w:drawing>
            <wp:anchor distT="0" distB="0" distL="0" distR="0" simplePos="0" relativeHeight="251658240" behindDoc="0" locked="0" layoutInCell="1" allowOverlap="1" wp14:anchorId="178F0D2A" wp14:editId="1BB68FE3">
              <wp:simplePos x="1076325" y="10260965"/>
              <wp:positionH relativeFrom="page">
                <wp:align>center</wp:align>
              </wp:positionH>
              <wp:positionV relativeFrom="page">
                <wp:align>bottom</wp:align>
              </wp:positionV>
              <wp:extent cx="443865" cy="443865"/>
              <wp:effectExtent l="0" t="0" r="15875" b="0"/>
              <wp:wrapNone/>
              <wp:docPr id="438532822" name="Text Box 1" descr="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67C430" w14:textId="7BDE5381"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F0D2A" id="_x0000_t202" coordsize="21600,21600" o:spt="202" path="m,l,21600r21600,l21600,xe">
              <v:stroke joinstyle="miter"/>
              <v:path gradientshapeok="t" o:connecttype="rect"/>
            </v:shapetype>
            <v:shape id="Text Box 1" o:spid="_x0000_s1028" type="#_x0000_t202" alt="Internal Information"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6467C430" w14:textId="7BDE5381" w:rsidR="00D4561D" w:rsidRPr="00D4561D" w:rsidRDefault="00D4561D" w:rsidP="00D4561D">
                    <w:pPr>
                      <w:rPr>
                        <w:rFonts w:ascii="Calibri" w:eastAsia="Calibri" w:hAnsi="Calibri" w:cs="Calibri"/>
                        <w:noProof/>
                        <w:color w:val="000000"/>
                        <w:sz w:val="20"/>
                      </w:rPr>
                    </w:pPr>
                    <w:r w:rsidRPr="00D4561D">
                      <w:rPr>
                        <w:rFonts w:ascii="Calibri" w:eastAsia="Calibri" w:hAnsi="Calibri" w:cs="Calibri"/>
                        <w:noProof/>
                        <w:color w:val="000000"/>
                        <w:sz w:val="20"/>
                      </w:rPr>
                      <w:t>Internal Information</w:t>
                    </w:r>
                  </w:p>
                </w:txbxContent>
              </v:textbox>
              <w10:wrap anchorx="page" anchory="page"/>
            </v:shape>
          </w:pict>
        </mc:Fallback>
      </mc:AlternateContent>
    </w:r>
    <w:r w:rsidR="004778C9">
      <w:rPr>
        <w:rStyle w:val="PageNumber"/>
      </w:rPr>
      <w:fldChar w:fldCharType="begin"/>
    </w:r>
    <w:r w:rsidR="004778C9">
      <w:rPr>
        <w:rStyle w:val="PageNumber"/>
      </w:rPr>
      <w:instrText xml:space="preserve"> PAGE </w:instrText>
    </w:r>
    <w:r w:rsidR="004778C9">
      <w:rPr>
        <w:rStyle w:val="PageNumber"/>
      </w:rPr>
      <w:fldChar w:fldCharType="separate"/>
    </w:r>
    <w:r w:rsidR="00D8020E">
      <w:rPr>
        <w:rStyle w:val="PageNumber"/>
        <w:noProof/>
      </w:rPr>
      <w:t>1</w:t>
    </w:r>
    <w:r w:rsidR="004778C9">
      <w:rPr>
        <w:rStyle w:val="PageNumber"/>
      </w:rPr>
      <w:fldChar w:fldCharType="end"/>
    </w:r>
    <w:r w:rsidR="004778C9">
      <w:rPr>
        <w:rStyle w:val="PageNumber"/>
      </w:rPr>
      <w:t>/</w:t>
    </w:r>
    <w:r w:rsidR="004778C9">
      <w:rPr>
        <w:rStyle w:val="PageNumber"/>
      </w:rPr>
      <w:fldChar w:fldCharType="begin"/>
    </w:r>
    <w:r w:rsidR="004778C9">
      <w:rPr>
        <w:rStyle w:val="PageNumber"/>
      </w:rPr>
      <w:instrText xml:space="preserve"> NUMPAGES </w:instrText>
    </w:r>
    <w:r w:rsidR="004778C9">
      <w:rPr>
        <w:rStyle w:val="PageNumber"/>
      </w:rPr>
      <w:fldChar w:fldCharType="separate"/>
    </w:r>
    <w:r w:rsidR="00D8020E">
      <w:rPr>
        <w:rStyle w:val="PageNumber"/>
        <w:noProof/>
      </w:rPr>
      <w:t>4</w:t>
    </w:r>
    <w:r w:rsidR="004778C9">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5A0D6" w14:textId="77777777" w:rsidR="00B63499" w:rsidRDefault="00B63499">
      <w:r>
        <w:separator/>
      </w:r>
    </w:p>
  </w:footnote>
  <w:footnote w:type="continuationSeparator" w:id="0">
    <w:p w14:paraId="1290DE56" w14:textId="77777777" w:rsidR="00B63499" w:rsidRDefault="00B63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24BAD" w14:textId="77777777" w:rsidR="004778C9" w:rsidRDefault="004778C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ADF73A" w14:textId="77777777" w:rsidR="004778C9" w:rsidRDefault="004778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1F2A" w14:textId="77777777" w:rsidR="004778C9" w:rsidRDefault="004778C9">
    <w:pPr>
      <w:pStyle w:val="Header"/>
      <w:ind w:left="180" w:right="360" w:hanging="180"/>
      <w:rPr>
        <w:rFonts w:ascii="Times New Roman" w:hAnsi="Times New Roman"/>
        <w:i/>
        <w:sz w:val="28"/>
      </w:rPr>
    </w:pPr>
    <w:r>
      <w:rPr>
        <w:b/>
        <w:sz w:val="36"/>
      </w:rPr>
      <w:tab/>
    </w:r>
    <w:r>
      <w:rPr>
        <w:rFonts w:ascii="Times New Roman" w:hAnsi="Times New Roman"/>
        <w:b/>
        <w:sz w:val="36"/>
      </w:rPr>
      <w:tab/>
    </w: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BB8A0" w14:textId="77777777" w:rsidR="004778C9" w:rsidRDefault="004778C9">
    <w:pPr>
      <w:pStyle w:val="Header"/>
      <w:tabs>
        <w:tab w:val="left" w:pos="340"/>
      </w:tabs>
      <w:rPr>
        <w:rFonts w:ascii="Times New Roman" w:hAnsi="Times New Roman"/>
        <w:i/>
        <w:sz w:val="28"/>
      </w:rPr>
    </w:pPr>
    <w:r>
      <w:rPr>
        <w:rFonts w:ascii="Times New Roman" w:hAnsi="Times New Roman"/>
      </w:rPr>
      <w:tab/>
    </w:r>
    <w:r>
      <w:rPr>
        <w:rFonts w:ascii="Times New Roman" w:hAnsi="Times New Roman"/>
        <w:b/>
        <w:sz w:val="36"/>
      </w:rPr>
      <w:tab/>
    </w:r>
  </w:p>
  <w:p w14:paraId="512696AF" w14:textId="77777777" w:rsidR="004778C9" w:rsidRDefault="004778C9">
    <w:pPr>
      <w:pStyle w:val="Header"/>
      <w:tabs>
        <w:tab w:val="clear" w:pos="9072"/>
        <w:tab w:val="left" w:pos="340"/>
        <w:tab w:val="right" w:pos="7200"/>
      </w:tabs>
      <w:ind w:right="1147"/>
      <w:rPr>
        <w:rFonts w:ascii="Times New Roman" w:hAnsi="Times New Roman"/>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54394"/>
    <w:multiLevelType w:val="singleLevel"/>
    <w:tmpl w:val="04090011"/>
    <w:lvl w:ilvl="0">
      <w:start w:val="1"/>
      <w:numFmt w:val="decimal"/>
      <w:lvlText w:val="%1)"/>
      <w:lvlJc w:val="left"/>
      <w:pPr>
        <w:tabs>
          <w:tab w:val="num" w:pos="360"/>
        </w:tabs>
        <w:ind w:left="360" w:hanging="360"/>
      </w:pPr>
      <w:rPr>
        <w:rFonts w:hint="default"/>
      </w:rPr>
    </w:lvl>
  </w:abstractNum>
  <w:abstractNum w:abstractNumId="2" w15:restartNumberingAfterBreak="0">
    <w:nsid w:val="020E13FF"/>
    <w:multiLevelType w:val="singleLevel"/>
    <w:tmpl w:val="04090017"/>
    <w:lvl w:ilvl="0">
      <w:start w:val="1"/>
      <w:numFmt w:val="lowerLetter"/>
      <w:lvlText w:val="%1)"/>
      <w:lvlJc w:val="left"/>
      <w:pPr>
        <w:tabs>
          <w:tab w:val="num" w:pos="360"/>
        </w:tabs>
        <w:ind w:left="360" w:hanging="360"/>
      </w:pPr>
    </w:lvl>
  </w:abstractNum>
  <w:abstractNum w:abstractNumId="3" w15:restartNumberingAfterBreak="0">
    <w:nsid w:val="15035041"/>
    <w:multiLevelType w:val="singleLevel"/>
    <w:tmpl w:val="04090017"/>
    <w:lvl w:ilvl="0">
      <w:start w:val="1"/>
      <w:numFmt w:val="lowerLetter"/>
      <w:lvlText w:val="%1)"/>
      <w:lvlJc w:val="left"/>
      <w:pPr>
        <w:tabs>
          <w:tab w:val="num" w:pos="360"/>
        </w:tabs>
        <w:ind w:left="360" w:hanging="360"/>
      </w:pPr>
    </w:lvl>
  </w:abstractNum>
  <w:abstractNum w:abstractNumId="4" w15:restartNumberingAfterBreak="0">
    <w:nsid w:val="217714B8"/>
    <w:multiLevelType w:val="singleLevel"/>
    <w:tmpl w:val="04090017"/>
    <w:lvl w:ilvl="0">
      <w:start w:val="1"/>
      <w:numFmt w:val="lowerLetter"/>
      <w:lvlText w:val="%1)"/>
      <w:lvlJc w:val="left"/>
      <w:pPr>
        <w:tabs>
          <w:tab w:val="num" w:pos="360"/>
        </w:tabs>
        <w:ind w:left="360" w:hanging="360"/>
      </w:pPr>
    </w:lvl>
  </w:abstractNum>
  <w:abstractNum w:abstractNumId="5" w15:restartNumberingAfterBreak="0">
    <w:nsid w:val="229A274F"/>
    <w:multiLevelType w:val="singleLevel"/>
    <w:tmpl w:val="BC942BF0"/>
    <w:lvl w:ilvl="0">
      <w:start w:val="2"/>
      <w:numFmt w:val="bullet"/>
      <w:lvlText w:val="-"/>
      <w:lvlJc w:val="left"/>
      <w:pPr>
        <w:tabs>
          <w:tab w:val="num" w:pos="786"/>
        </w:tabs>
        <w:ind w:left="786" w:hanging="360"/>
      </w:pPr>
      <w:rPr>
        <w:rFonts w:ascii="Times New Roman" w:hAnsi="Times New Roman" w:hint="default"/>
        <w:b w:val="0"/>
        <w:u w:val="none"/>
      </w:rPr>
    </w:lvl>
  </w:abstractNum>
  <w:abstractNum w:abstractNumId="6" w15:restartNumberingAfterBreak="0">
    <w:nsid w:val="22EC6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6E0982"/>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416B6E7E"/>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4BD20E2C"/>
    <w:multiLevelType w:val="singleLevel"/>
    <w:tmpl w:val="04090017"/>
    <w:lvl w:ilvl="0">
      <w:start w:val="1"/>
      <w:numFmt w:val="lowerLetter"/>
      <w:lvlText w:val="%1)"/>
      <w:lvlJc w:val="left"/>
      <w:pPr>
        <w:tabs>
          <w:tab w:val="num" w:pos="360"/>
        </w:tabs>
        <w:ind w:left="360" w:hanging="360"/>
      </w:pPr>
    </w:lvl>
  </w:abstractNum>
  <w:abstractNum w:abstractNumId="10" w15:restartNumberingAfterBreak="0">
    <w:nsid w:val="4E86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FE962E6"/>
    <w:multiLevelType w:val="singleLevel"/>
    <w:tmpl w:val="04090017"/>
    <w:lvl w:ilvl="0">
      <w:start w:val="1"/>
      <w:numFmt w:val="lowerLetter"/>
      <w:lvlText w:val="%1)"/>
      <w:lvlJc w:val="left"/>
      <w:pPr>
        <w:tabs>
          <w:tab w:val="num" w:pos="360"/>
        </w:tabs>
        <w:ind w:left="360" w:hanging="360"/>
      </w:pPr>
    </w:lvl>
  </w:abstractNum>
  <w:abstractNum w:abstractNumId="12" w15:restartNumberingAfterBreak="0">
    <w:nsid w:val="507156DF"/>
    <w:multiLevelType w:val="singleLevel"/>
    <w:tmpl w:val="04090017"/>
    <w:lvl w:ilvl="0">
      <w:start w:val="1"/>
      <w:numFmt w:val="lowerLetter"/>
      <w:lvlText w:val="%1)"/>
      <w:lvlJc w:val="left"/>
      <w:pPr>
        <w:tabs>
          <w:tab w:val="num" w:pos="360"/>
        </w:tabs>
        <w:ind w:left="360" w:hanging="360"/>
      </w:pPr>
    </w:lvl>
  </w:abstractNum>
  <w:abstractNum w:abstractNumId="13" w15:restartNumberingAfterBreak="0">
    <w:nsid w:val="50EE77E7"/>
    <w:multiLevelType w:val="singleLevel"/>
    <w:tmpl w:val="04090011"/>
    <w:lvl w:ilvl="0">
      <w:start w:val="1"/>
      <w:numFmt w:val="decimal"/>
      <w:lvlText w:val="%1)"/>
      <w:lvlJc w:val="left"/>
      <w:pPr>
        <w:tabs>
          <w:tab w:val="num" w:pos="360"/>
        </w:tabs>
        <w:ind w:left="360" w:hanging="360"/>
      </w:pPr>
    </w:lvl>
  </w:abstractNum>
  <w:abstractNum w:abstractNumId="14" w15:restartNumberingAfterBreak="0">
    <w:nsid w:val="58FA3C41"/>
    <w:multiLevelType w:val="singleLevel"/>
    <w:tmpl w:val="04090017"/>
    <w:lvl w:ilvl="0">
      <w:start w:val="1"/>
      <w:numFmt w:val="lowerLetter"/>
      <w:lvlText w:val="%1)"/>
      <w:lvlJc w:val="left"/>
      <w:pPr>
        <w:tabs>
          <w:tab w:val="num" w:pos="360"/>
        </w:tabs>
        <w:ind w:left="360" w:hanging="360"/>
      </w:pPr>
      <w:rPr>
        <w:rFonts w:hint="default"/>
      </w:rPr>
    </w:lvl>
  </w:abstractNum>
  <w:abstractNum w:abstractNumId="15" w15:restartNumberingAfterBreak="0">
    <w:nsid w:val="5BB61530"/>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6D9246EA"/>
    <w:multiLevelType w:val="singleLevel"/>
    <w:tmpl w:val="A7FE42CE"/>
    <w:lvl w:ilvl="0">
      <w:start w:val="3"/>
      <w:numFmt w:val="decimal"/>
      <w:lvlText w:val="%1)"/>
      <w:lvlJc w:val="left"/>
      <w:pPr>
        <w:tabs>
          <w:tab w:val="num" w:pos="420"/>
        </w:tabs>
        <w:ind w:left="420" w:hanging="420"/>
      </w:pPr>
      <w:rPr>
        <w:rFonts w:hint="default"/>
      </w:rPr>
    </w:lvl>
  </w:abstractNum>
  <w:abstractNum w:abstractNumId="17" w15:restartNumberingAfterBreak="0">
    <w:nsid w:val="6F376E73"/>
    <w:multiLevelType w:val="singleLevel"/>
    <w:tmpl w:val="069253B6"/>
    <w:lvl w:ilvl="0">
      <w:start w:val="2"/>
      <w:numFmt w:val="lowerLetter"/>
      <w:lvlText w:val="%1."/>
      <w:lvlJc w:val="left"/>
      <w:pPr>
        <w:tabs>
          <w:tab w:val="num" w:pos="360"/>
        </w:tabs>
        <w:ind w:left="360" w:hanging="360"/>
      </w:pPr>
      <w:rPr>
        <w:rFonts w:hint="default"/>
      </w:rPr>
    </w:lvl>
  </w:abstractNum>
  <w:abstractNum w:abstractNumId="18" w15:restartNumberingAfterBreak="0">
    <w:nsid w:val="73C51E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126A84"/>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7C7D2DFC"/>
    <w:multiLevelType w:val="singleLevel"/>
    <w:tmpl w:val="04090017"/>
    <w:lvl w:ilvl="0">
      <w:start w:val="1"/>
      <w:numFmt w:val="lowerLetter"/>
      <w:lvlText w:val="%1)"/>
      <w:lvlJc w:val="left"/>
      <w:pPr>
        <w:tabs>
          <w:tab w:val="num" w:pos="360"/>
        </w:tabs>
        <w:ind w:left="360" w:hanging="360"/>
      </w:pPr>
    </w:lvl>
  </w:abstractNum>
  <w:abstractNum w:abstractNumId="21" w15:restartNumberingAfterBreak="0">
    <w:nsid w:val="7D306DC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7D96384E"/>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7E316864"/>
    <w:multiLevelType w:val="singleLevel"/>
    <w:tmpl w:val="0409000F"/>
    <w:lvl w:ilvl="0">
      <w:start w:val="1"/>
      <w:numFmt w:val="decimal"/>
      <w:lvlText w:val="%1."/>
      <w:lvlJc w:val="left"/>
      <w:pPr>
        <w:tabs>
          <w:tab w:val="num" w:pos="360"/>
        </w:tabs>
        <w:ind w:left="360" w:hanging="360"/>
      </w:pPr>
    </w:lvl>
  </w:abstractNum>
  <w:num w:numId="1" w16cid:durableId="1016469665">
    <w:abstractNumId w:val="5"/>
  </w:num>
  <w:num w:numId="2" w16cid:durableId="146997889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31358647">
    <w:abstractNumId w:val="16"/>
  </w:num>
  <w:num w:numId="4" w16cid:durableId="455221020">
    <w:abstractNumId w:val="0"/>
    <w:lvlOverride w:ilvl="0">
      <w:lvl w:ilvl="0">
        <w:start w:val="1"/>
        <w:numFmt w:val="bullet"/>
        <w:lvlText w:val=""/>
        <w:legacy w:legacy="1" w:legacySpace="0" w:legacyIndent="140"/>
        <w:lvlJc w:val="left"/>
        <w:pPr>
          <w:ind w:left="284" w:hanging="140"/>
        </w:pPr>
        <w:rPr>
          <w:rFonts w:ascii="Symbol" w:hAnsi="Symbol" w:hint="default"/>
        </w:rPr>
      </w:lvl>
    </w:lvlOverride>
  </w:num>
  <w:num w:numId="5" w16cid:durableId="2131900238">
    <w:abstractNumId w:val="7"/>
  </w:num>
  <w:num w:numId="6" w16cid:durableId="1330521398">
    <w:abstractNumId w:val="19"/>
  </w:num>
  <w:num w:numId="7" w16cid:durableId="534738740">
    <w:abstractNumId w:val="21"/>
  </w:num>
  <w:num w:numId="8" w16cid:durableId="1574582207">
    <w:abstractNumId w:val="11"/>
  </w:num>
  <w:num w:numId="9" w16cid:durableId="301276724">
    <w:abstractNumId w:val="15"/>
  </w:num>
  <w:num w:numId="10" w16cid:durableId="1680546229">
    <w:abstractNumId w:val="22"/>
  </w:num>
  <w:num w:numId="11" w16cid:durableId="1102070460">
    <w:abstractNumId w:val="13"/>
  </w:num>
  <w:num w:numId="12" w16cid:durableId="285359627">
    <w:abstractNumId w:val="4"/>
  </w:num>
  <w:num w:numId="13" w16cid:durableId="433671126">
    <w:abstractNumId w:val="2"/>
  </w:num>
  <w:num w:numId="14" w16cid:durableId="726955834">
    <w:abstractNumId w:val="14"/>
  </w:num>
  <w:num w:numId="15" w16cid:durableId="339628646">
    <w:abstractNumId w:val="1"/>
  </w:num>
  <w:num w:numId="16" w16cid:durableId="1814638799">
    <w:abstractNumId w:val="20"/>
  </w:num>
  <w:num w:numId="17" w16cid:durableId="1924728152">
    <w:abstractNumId w:val="9"/>
  </w:num>
  <w:num w:numId="18" w16cid:durableId="2040202948">
    <w:abstractNumId w:val="12"/>
  </w:num>
  <w:num w:numId="19" w16cid:durableId="1216166174">
    <w:abstractNumId w:val="8"/>
  </w:num>
  <w:num w:numId="20" w16cid:durableId="1031345670">
    <w:abstractNumId w:val="3"/>
  </w:num>
  <w:num w:numId="21" w16cid:durableId="997534131">
    <w:abstractNumId w:val="23"/>
  </w:num>
  <w:num w:numId="22" w16cid:durableId="604073973">
    <w:abstractNumId w:val="6"/>
  </w:num>
  <w:num w:numId="23" w16cid:durableId="707293759">
    <w:abstractNumId w:val="18"/>
  </w:num>
  <w:num w:numId="24" w16cid:durableId="1042092715">
    <w:abstractNumId w:val="10"/>
  </w:num>
  <w:num w:numId="25" w16cid:durableId="967390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activeWritingStyle w:appName="MSWord" w:lang="en-US" w:vendorID="8" w:dllVersion="513" w:checkStyle="1"/>
  <w:proofState w:spelling="clean"/>
  <w:documentProtection w:edit="form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950"/>
    <w:rsid w:val="000B0E92"/>
    <w:rsid w:val="00127EDD"/>
    <w:rsid w:val="00134BD0"/>
    <w:rsid w:val="001E5849"/>
    <w:rsid w:val="001F0440"/>
    <w:rsid w:val="001F3DD2"/>
    <w:rsid w:val="00211634"/>
    <w:rsid w:val="002455B9"/>
    <w:rsid w:val="00285912"/>
    <w:rsid w:val="00294D51"/>
    <w:rsid w:val="002A219F"/>
    <w:rsid w:val="002C3F93"/>
    <w:rsid w:val="002E7B10"/>
    <w:rsid w:val="003250AD"/>
    <w:rsid w:val="00330097"/>
    <w:rsid w:val="00363157"/>
    <w:rsid w:val="003758B6"/>
    <w:rsid w:val="003837BF"/>
    <w:rsid w:val="003870F4"/>
    <w:rsid w:val="003E7783"/>
    <w:rsid w:val="00424325"/>
    <w:rsid w:val="004279EA"/>
    <w:rsid w:val="0045139E"/>
    <w:rsid w:val="004778C9"/>
    <w:rsid w:val="004A474B"/>
    <w:rsid w:val="004B5B53"/>
    <w:rsid w:val="005602AC"/>
    <w:rsid w:val="005814A9"/>
    <w:rsid w:val="0059067B"/>
    <w:rsid w:val="005A4233"/>
    <w:rsid w:val="005E546A"/>
    <w:rsid w:val="00605A95"/>
    <w:rsid w:val="0063517D"/>
    <w:rsid w:val="00662C9A"/>
    <w:rsid w:val="00681A8A"/>
    <w:rsid w:val="006B4BDA"/>
    <w:rsid w:val="006C710E"/>
    <w:rsid w:val="006D336D"/>
    <w:rsid w:val="006E36E7"/>
    <w:rsid w:val="007141A3"/>
    <w:rsid w:val="007801F3"/>
    <w:rsid w:val="007A3F7D"/>
    <w:rsid w:val="007C7463"/>
    <w:rsid w:val="007F3089"/>
    <w:rsid w:val="00831C8D"/>
    <w:rsid w:val="008C7B3D"/>
    <w:rsid w:val="008D0170"/>
    <w:rsid w:val="008D0950"/>
    <w:rsid w:val="00925D7E"/>
    <w:rsid w:val="009A1DBF"/>
    <w:rsid w:val="009B065A"/>
    <w:rsid w:val="009E54E8"/>
    <w:rsid w:val="00A15531"/>
    <w:rsid w:val="00A700C5"/>
    <w:rsid w:val="00AC0621"/>
    <w:rsid w:val="00AC1D57"/>
    <w:rsid w:val="00AC2A70"/>
    <w:rsid w:val="00AD79C7"/>
    <w:rsid w:val="00B1070F"/>
    <w:rsid w:val="00B47E79"/>
    <w:rsid w:val="00B63499"/>
    <w:rsid w:val="00B6760C"/>
    <w:rsid w:val="00BE19D3"/>
    <w:rsid w:val="00BE1BED"/>
    <w:rsid w:val="00BE6B15"/>
    <w:rsid w:val="00C222BD"/>
    <w:rsid w:val="00C3367E"/>
    <w:rsid w:val="00C4422A"/>
    <w:rsid w:val="00CB1459"/>
    <w:rsid w:val="00CB610A"/>
    <w:rsid w:val="00D11005"/>
    <w:rsid w:val="00D15BAF"/>
    <w:rsid w:val="00D4561D"/>
    <w:rsid w:val="00D52DCF"/>
    <w:rsid w:val="00D630F0"/>
    <w:rsid w:val="00D64E95"/>
    <w:rsid w:val="00D8020E"/>
    <w:rsid w:val="00DD72B1"/>
    <w:rsid w:val="00E17DBF"/>
    <w:rsid w:val="00EE4212"/>
    <w:rsid w:val="00EF0856"/>
    <w:rsid w:val="00EF0890"/>
    <w:rsid w:val="00F23BA6"/>
    <w:rsid w:val="00F305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05781"/>
  <w15:chartTrackingRefBased/>
  <w15:docId w15:val="{556D6894-8D21-4186-BD29-17D01D2B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16"/>
      <w:lang w:val="en-US"/>
    </w:rPr>
  </w:style>
  <w:style w:type="paragraph" w:styleId="Heading1">
    <w:name w:val="heading 1"/>
    <w:basedOn w:val="Normal"/>
    <w:next w:val="Normal"/>
    <w:qFormat/>
    <w:pPr>
      <w:keepNext/>
      <w:spacing w:before="14" w:line="280" w:lineRule="atLeast"/>
      <w:ind w:right="-567"/>
      <w:jc w:val="center"/>
      <w:outlineLvl w:val="0"/>
    </w:pPr>
    <w:rPr>
      <w:u w:val="single"/>
      <w:lang w:val="fr-FR"/>
    </w:rPr>
  </w:style>
  <w:style w:type="paragraph" w:styleId="Heading2">
    <w:name w:val="heading 2"/>
    <w:basedOn w:val="Normal"/>
    <w:next w:val="Normal"/>
    <w:qFormat/>
    <w:pPr>
      <w:keepNext/>
      <w:spacing w:before="62" w:line="280" w:lineRule="atLeast"/>
      <w:ind w:right="-567"/>
      <w:jc w:val="both"/>
      <w:outlineLvl w:val="1"/>
    </w:pPr>
    <w:rPr>
      <w:b/>
      <w:sz w:val="18"/>
      <w:u w:val="single"/>
      <w:lang w:val="fr-FR"/>
    </w:rPr>
  </w:style>
  <w:style w:type="paragraph" w:styleId="Heading3">
    <w:name w:val="heading 3"/>
    <w:basedOn w:val="Normal"/>
    <w:next w:val="Normal"/>
    <w:qFormat/>
    <w:pPr>
      <w:keepNext/>
      <w:spacing w:before="67" w:line="280" w:lineRule="atLeast"/>
      <w:ind w:right="-567"/>
      <w:outlineLvl w:val="2"/>
    </w:pPr>
    <w:rPr>
      <w:b/>
      <w:u w:val="single"/>
      <w:lang w:val="fr-FR"/>
    </w:rPr>
  </w:style>
  <w:style w:type="paragraph" w:styleId="Heading4">
    <w:name w:val="heading 4"/>
    <w:basedOn w:val="Normal"/>
    <w:next w:val="Normal"/>
    <w:qFormat/>
    <w:pPr>
      <w:keepNext/>
      <w:spacing w:before="67" w:line="280" w:lineRule="atLeast"/>
      <w:ind w:right="-567"/>
      <w:jc w:val="center"/>
      <w:outlineLvl w:val="3"/>
    </w:pPr>
    <w:rPr>
      <w:b/>
      <w:u w:val="single"/>
      <w:lang w:val="fr-FR"/>
    </w:rPr>
  </w:style>
  <w:style w:type="paragraph" w:styleId="Heading5">
    <w:name w:val="heading 5"/>
    <w:basedOn w:val="Normal"/>
    <w:next w:val="Normal"/>
    <w:qFormat/>
    <w:pPr>
      <w:keepNext/>
      <w:spacing w:line="280" w:lineRule="atLeast"/>
      <w:ind w:right="-567"/>
      <w:jc w:val="center"/>
      <w:outlineLvl w:val="4"/>
    </w:pPr>
    <w:rPr>
      <w:b/>
      <w:lang w:val="fr-FR"/>
    </w:rPr>
  </w:style>
  <w:style w:type="paragraph" w:styleId="Heading6">
    <w:name w:val="heading 6"/>
    <w:basedOn w:val="Normal"/>
    <w:next w:val="Normal"/>
    <w:qFormat/>
    <w:pPr>
      <w:keepNext/>
      <w:spacing w:line="280" w:lineRule="atLeast"/>
      <w:ind w:right="-567"/>
      <w:outlineLvl w:val="5"/>
    </w:pPr>
    <w:rPr>
      <w:b/>
      <w:u w:val="single"/>
      <w:lang w:val="fr-FR"/>
    </w:rPr>
  </w:style>
  <w:style w:type="paragraph" w:styleId="Heading7">
    <w:name w:val="heading 7"/>
    <w:basedOn w:val="Normal"/>
    <w:next w:val="Normal"/>
    <w:qFormat/>
    <w:pPr>
      <w:keepNext/>
      <w:pBdr>
        <w:top w:val="single" w:sz="4" w:space="1" w:color="auto"/>
        <w:bottom w:val="single" w:sz="4" w:space="1" w:color="auto"/>
      </w:pBdr>
      <w:spacing w:line="182" w:lineRule="exact"/>
      <w:ind w:right="-851"/>
      <w:jc w:val="center"/>
      <w:outlineLvl w:val="6"/>
    </w:pPr>
    <w:rPr>
      <w:b/>
      <w:lang w:val="fr-FR"/>
    </w:rPr>
  </w:style>
  <w:style w:type="paragraph" w:styleId="Heading8">
    <w:name w:val="heading 8"/>
    <w:basedOn w:val="Normal"/>
    <w:next w:val="Normal"/>
    <w:qFormat/>
    <w:pPr>
      <w:keepNext/>
      <w:pBdr>
        <w:top w:val="single" w:sz="4" w:space="1" w:color="auto"/>
        <w:bottom w:val="single" w:sz="4" w:space="1" w:color="auto"/>
      </w:pBdr>
      <w:spacing w:line="182" w:lineRule="exact"/>
      <w:ind w:right="-1"/>
      <w:jc w:val="center"/>
      <w:outlineLvl w:val="7"/>
    </w:pPr>
    <w:rPr>
      <w:b/>
      <w:lang w:val="fr-FR"/>
    </w:rPr>
  </w:style>
  <w:style w:type="paragraph" w:styleId="Heading9">
    <w:name w:val="heading 9"/>
    <w:basedOn w:val="Normal"/>
    <w:next w:val="Normal"/>
    <w:qFormat/>
    <w:pPr>
      <w:keepNext/>
      <w:ind w:right="-851"/>
      <w:jc w:val="center"/>
      <w:outlineLvl w:val="8"/>
    </w:pPr>
    <w:rPr>
      <w:b/>
      <w:sz w:val="18"/>
      <w:u w:val="single"/>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line="240" w:lineRule="exact"/>
    </w:pPr>
    <w:rPr>
      <w:b/>
      <w:u w:val="single"/>
      <w:lang w:val="fr-FR"/>
    </w:rPr>
  </w:style>
  <w:style w:type="paragraph" w:styleId="BlockText">
    <w:name w:val="Block Text"/>
    <w:basedOn w:val="Normal"/>
    <w:semiHidden/>
    <w:pPr>
      <w:spacing w:before="4" w:line="280" w:lineRule="atLeast"/>
      <w:ind w:left="567" w:right="-567"/>
      <w:jc w:val="both"/>
    </w:pPr>
    <w:rPr>
      <w:lang w:val="fr-FR"/>
    </w:rPr>
  </w:style>
  <w:style w:type="paragraph" w:styleId="BodyText3">
    <w:name w:val="Body Text 3"/>
    <w:basedOn w:val="Normal"/>
    <w:semiHidden/>
    <w:pPr>
      <w:spacing w:line="280" w:lineRule="atLeast"/>
      <w:ind w:right="-567"/>
    </w:pPr>
    <w:rPr>
      <w:lang w:val="fr-FR"/>
    </w:rPr>
  </w:style>
  <w:style w:type="paragraph" w:styleId="BodyTextIndent">
    <w:name w:val="Body Text Indent"/>
    <w:basedOn w:val="Normal"/>
    <w:semiHidden/>
    <w:pPr>
      <w:ind w:left="284" w:hanging="284"/>
      <w:jc w:val="both"/>
    </w:pPr>
    <w:rPr>
      <w:lang w:val="nl-NL"/>
    </w:rPr>
  </w:style>
  <w:style w:type="paragraph" w:styleId="BodyTextIndent2">
    <w:name w:val="Body Text Indent 2"/>
    <w:basedOn w:val="Normal"/>
    <w:semiHidden/>
    <w:pPr>
      <w:ind w:left="567"/>
      <w:jc w:val="both"/>
    </w:pPr>
    <w:rPr>
      <w:lang w:val="fr-FR"/>
    </w:rPr>
  </w:style>
  <w:style w:type="paragraph" w:styleId="BodyTextIndent3">
    <w:name w:val="Body Text Indent 3"/>
    <w:basedOn w:val="Normal"/>
    <w:semiHidden/>
    <w:pPr>
      <w:ind w:left="142"/>
      <w:jc w:val="both"/>
    </w:pPr>
    <w:rPr>
      <w:lang w:val="fr-FR"/>
    </w:rPr>
  </w:style>
  <w:style w:type="character" w:styleId="PageNumber">
    <w:name w:val="page number"/>
    <w:basedOn w:val="DefaultParagraphFont"/>
    <w:semiHidden/>
  </w:style>
  <w:style w:type="paragraph" w:styleId="Header">
    <w:name w:val="header"/>
    <w:basedOn w:val="Normal"/>
    <w:semiHidden/>
    <w:pPr>
      <w:tabs>
        <w:tab w:val="center" w:pos="4536"/>
        <w:tab w:val="right" w:pos="9072"/>
      </w:tabs>
    </w:pPr>
    <w:rPr>
      <w:lang w:val="fr-FR"/>
    </w:rPr>
  </w:style>
  <w:style w:type="paragraph" w:styleId="Footer">
    <w:name w:val="footer"/>
    <w:basedOn w:val="Normal"/>
    <w:semiHidden/>
    <w:pPr>
      <w:tabs>
        <w:tab w:val="center" w:pos="4153"/>
        <w:tab w:val="right" w:pos="8306"/>
      </w:tabs>
    </w:pPr>
  </w:style>
  <w:style w:type="paragraph" w:styleId="BodyText2">
    <w:name w:val="Body Text 2"/>
    <w:basedOn w:val="Normal"/>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A79F1-2583-4568-8AEB-FCF98A436D5D}">
  <ds:schemaRefs>
    <ds:schemaRef ds:uri="http://schemas.openxmlformats.org/officeDocument/2006/bibliography"/>
  </ds:schemaRefs>
</ds:datastoreItem>
</file>

<file path=docMetadata/LabelInfo.xml><?xml version="1.0" encoding="utf-8"?>
<clbl:labelList xmlns:clbl="http://schemas.microsoft.com/office/2020/mipLabelMetadata">
  <clbl:label id="{d6e1ffc9-3ac8-4b4d-9640-a79fae035ca4}" enabled="1" method="Privileged" siteId="{fce2dcb4-8191-4262-9152-b5ac8cfa96e1}"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3029</Words>
  <Characters>17431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S</vt:lpstr>
    </vt:vector>
  </TitlesOfParts>
  <Company>Crelan</Company>
  <LinksUpToDate>false</LinksUpToDate>
  <CharactersWithSpaces>20420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Matthias RYPENS</dc:creator>
  <cp:keywords/>
  <cp:lastModifiedBy>Matthias Rypens</cp:lastModifiedBy>
  <cp:revision>9</cp:revision>
  <cp:lastPrinted>2001-03-23T11:40:00Z</cp:lastPrinted>
  <dcterms:created xsi:type="dcterms:W3CDTF">2018-04-04T09:46:00Z</dcterms:created>
  <dcterms:modified xsi:type="dcterms:W3CDTF">2024-09-19T08:38:00Z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1a237ad6,7a5e4ac1,1a9cf5f1</vt:lpwstr>
  </property>
  <property fmtid="{D5CDD505-2E9C-101B-9397-08002B2CF9AE}" pid="3" name="ClassificationContentMarkingFooterFontProps">
    <vt:lpwstr>#000000,10,Calibri</vt:lpwstr>
  </property>
  <property fmtid="{D5CDD505-2E9C-101B-9397-08002B2CF9AE}" pid="4" name="ClassificationContentMarkingFooterText">
    <vt:lpwstr>Internal Information</vt:lpwstr>
  </property>
</Properties>
</file>